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E63" w:rsidRPr="004E665C" w:rsidRDefault="002B5E63" w:rsidP="002B5E63">
      <w:pPr>
        <w:pStyle w:val="contact"/>
        <w:widowControl/>
        <w:rPr>
          <w:rFonts w:ascii="Arial" w:hAnsi="Arial"/>
          <w:smallCaps/>
          <w:lang w:val="fr-FR"/>
        </w:rPr>
      </w:pPr>
      <w:bookmarkStart w:id="0" w:name="OLE_LINK1"/>
      <w:r w:rsidRPr="004E665C">
        <w:rPr>
          <w:rFonts w:ascii="Arial" w:hAnsi="Arial"/>
          <w:smallCaps/>
          <w:lang w:val="fr-FR"/>
        </w:rPr>
        <w:t>CONTACTS:</w:t>
      </w:r>
    </w:p>
    <w:p w:rsidR="00D55524" w:rsidRPr="004E665C" w:rsidRDefault="00D55524" w:rsidP="00D55524">
      <w:pPr>
        <w:pStyle w:val="contact"/>
        <w:widowControl/>
        <w:tabs>
          <w:tab w:val="clear" w:pos="9180"/>
          <w:tab w:val="right" w:pos="10206"/>
        </w:tabs>
        <w:rPr>
          <w:rFonts w:ascii="Arial" w:hAnsi="Arial"/>
          <w:lang w:val="fr-FR"/>
        </w:rPr>
      </w:pPr>
      <w:proofErr w:type="spellStart"/>
      <w:r w:rsidRPr="004E665C">
        <w:rPr>
          <w:rFonts w:ascii="Arial" w:hAnsi="Arial"/>
          <w:lang w:val="fr-FR"/>
        </w:rPr>
        <w:t>Janessa</w:t>
      </w:r>
      <w:proofErr w:type="spellEnd"/>
      <w:r w:rsidRPr="004E665C">
        <w:rPr>
          <w:rFonts w:ascii="Arial" w:hAnsi="Arial"/>
          <w:lang w:val="fr-FR"/>
        </w:rPr>
        <w:t xml:space="preserve"> Rivera</w:t>
      </w:r>
      <w:r w:rsidRPr="004E665C">
        <w:rPr>
          <w:rFonts w:ascii="Arial" w:hAnsi="Arial"/>
          <w:lang w:val="fr-FR"/>
        </w:rPr>
        <w:tab/>
        <w:t>Robert van der Meulen</w:t>
      </w:r>
    </w:p>
    <w:p w:rsidR="00D55524" w:rsidRPr="0089098F" w:rsidRDefault="00D55524" w:rsidP="00D55524">
      <w:pPr>
        <w:pStyle w:val="contact"/>
        <w:widowControl/>
        <w:tabs>
          <w:tab w:val="clear" w:pos="9180"/>
          <w:tab w:val="right" w:pos="10206"/>
        </w:tabs>
        <w:rPr>
          <w:rFonts w:ascii="Arial" w:hAnsi="Arial"/>
          <w:lang w:val="de-DE"/>
        </w:rPr>
      </w:pPr>
      <w:r w:rsidRPr="0089098F">
        <w:rPr>
          <w:rFonts w:ascii="Arial" w:hAnsi="Arial"/>
          <w:lang w:val="de-DE"/>
        </w:rPr>
        <w:t>Gartner</w:t>
      </w:r>
      <w:r w:rsidRPr="0089098F">
        <w:rPr>
          <w:rFonts w:ascii="Arial" w:hAnsi="Arial"/>
          <w:lang w:val="de-DE"/>
        </w:rPr>
        <w:tab/>
        <w:t>Gartner</w:t>
      </w:r>
    </w:p>
    <w:p w:rsidR="00D55524" w:rsidRPr="0089098F" w:rsidRDefault="00D55524" w:rsidP="00D55524">
      <w:pPr>
        <w:pStyle w:val="contact"/>
        <w:widowControl/>
        <w:tabs>
          <w:tab w:val="clear" w:pos="9180"/>
          <w:tab w:val="right" w:pos="10206"/>
        </w:tabs>
        <w:rPr>
          <w:rFonts w:ascii="Arial" w:hAnsi="Arial"/>
          <w:lang w:val="de-DE"/>
        </w:rPr>
      </w:pPr>
      <w:r w:rsidRPr="0089098F">
        <w:rPr>
          <w:rFonts w:ascii="Arial" w:hAnsi="Arial"/>
          <w:lang w:val="de-DE"/>
        </w:rPr>
        <w:t>+ 1 408 709 8220</w:t>
      </w:r>
      <w:r w:rsidRPr="0089098F">
        <w:rPr>
          <w:rFonts w:ascii="Arial" w:hAnsi="Arial"/>
          <w:lang w:val="de-DE"/>
        </w:rPr>
        <w:tab/>
        <w:t>+ 44 (0) 1784 267 738</w:t>
      </w:r>
    </w:p>
    <w:p w:rsidR="00D55524" w:rsidRPr="0089098F" w:rsidRDefault="00D23D5D" w:rsidP="00D55524">
      <w:pPr>
        <w:pStyle w:val="contact"/>
        <w:widowControl/>
        <w:tabs>
          <w:tab w:val="clear" w:pos="9180"/>
          <w:tab w:val="right" w:pos="10206"/>
        </w:tabs>
        <w:spacing w:after="160"/>
        <w:rPr>
          <w:rFonts w:ascii="Arial" w:hAnsi="Arial" w:cs="Arial"/>
          <w:lang w:val="de-DE"/>
        </w:rPr>
      </w:pPr>
      <w:hyperlink r:id="rId8" w:history="1">
        <w:r w:rsidR="00D55524" w:rsidRPr="0089098F">
          <w:rPr>
            <w:rStyle w:val="Hyperlink"/>
            <w:rFonts w:ascii="Arial" w:hAnsi="Arial" w:cs="Arial"/>
            <w:lang w:val="de-DE"/>
          </w:rPr>
          <w:t>janessa.rivera@gartner.com</w:t>
        </w:r>
      </w:hyperlink>
      <w:r w:rsidR="00D55524" w:rsidRPr="0089098F">
        <w:rPr>
          <w:rFonts w:ascii="Arial" w:hAnsi="Arial" w:cs="Arial"/>
          <w:lang w:val="de-DE"/>
        </w:rPr>
        <w:t xml:space="preserve"> </w:t>
      </w:r>
      <w:r w:rsidR="00D55524" w:rsidRPr="0089098F">
        <w:rPr>
          <w:rFonts w:ascii="Arial" w:hAnsi="Arial" w:cs="Arial"/>
          <w:lang w:val="de-DE"/>
        </w:rPr>
        <w:tab/>
      </w:r>
      <w:hyperlink r:id="rId9" w:history="1">
        <w:r w:rsidR="00D55524" w:rsidRPr="0089098F">
          <w:rPr>
            <w:rStyle w:val="Hyperlink"/>
            <w:rFonts w:ascii="Arial" w:hAnsi="Arial" w:cs="Arial"/>
            <w:lang w:val="de-DE"/>
          </w:rPr>
          <w:t>rob.vandermeulen@gartner.com</w:t>
        </w:r>
      </w:hyperlink>
    </w:p>
    <w:bookmarkEnd w:id="0"/>
    <w:p w:rsidR="002F7BD2" w:rsidRPr="00D0533D" w:rsidRDefault="00D3689E" w:rsidP="002F7BD2">
      <w:pPr>
        <w:jc w:val="center"/>
        <w:rPr>
          <w:rFonts w:eastAsia="Times New Roman" w:cs="Arial"/>
          <w:b/>
          <w:i/>
          <w:sz w:val="24"/>
          <w:szCs w:val="24"/>
        </w:rPr>
      </w:pPr>
      <w:r w:rsidRPr="00D0533D">
        <w:rPr>
          <w:rFonts w:eastAsia="Times New Roman" w:cs="Arial"/>
          <w:b/>
          <w:sz w:val="24"/>
          <w:szCs w:val="24"/>
        </w:rPr>
        <w:t>Gartner Says</w:t>
      </w:r>
      <w:r w:rsidR="00431502" w:rsidRPr="00D0533D">
        <w:rPr>
          <w:rFonts w:eastAsia="Times New Roman" w:cs="Arial"/>
          <w:b/>
          <w:sz w:val="24"/>
          <w:szCs w:val="24"/>
        </w:rPr>
        <w:t xml:space="preserve"> </w:t>
      </w:r>
      <w:r w:rsidR="002F7BD2" w:rsidRPr="00D0533D">
        <w:rPr>
          <w:rFonts w:eastAsia="Times New Roman" w:cs="Arial"/>
          <w:b/>
          <w:i/>
          <w:sz w:val="24"/>
          <w:szCs w:val="24"/>
        </w:rPr>
        <w:t xml:space="preserve">Worldwide Traditional PC, Tablet, Ultramobile and Mobile Phone Shipments to </w:t>
      </w:r>
      <w:r w:rsidR="002F7BD2" w:rsidRPr="00EC0D45">
        <w:rPr>
          <w:rFonts w:eastAsia="Times New Roman" w:cs="Arial"/>
          <w:b/>
          <w:i/>
          <w:sz w:val="24"/>
          <w:szCs w:val="24"/>
        </w:rPr>
        <w:t xml:space="preserve">Grow </w:t>
      </w:r>
      <w:r w:rsidR="005F1EEF" w:rsidRPr="00EC0D45">
        <w:rPr>
          <w:rFonts w:eastAsia="Times New Roman" w:cs="Arial"/>
          <w:b/>
          <w:i/>
          <w:sz w:val="24"/>
          <w:szCs w:val="24"/>
        </w:rPr>
        <w:t xml:space="preserve">4.2 </w:t>
      </w:r>
      <w:r w:rsidR="002F7BD2" w:rsidRPr="00EC0D45">
        <w:rPr>
          <w:rFonts w:eastAsia="Times New Roman" w:cs="Arial"/>
          <w:b/>
          <w:i/>
          <w:sz w:val="24"/>
          <w:szCs w:val="24"/>
        </w:rPr>
        <w:t>Per Cent in 2014</w:t>
      </w:r>
    </w:p>
    <w:p w:rsidR="002F7BD2" w:rsidRDefault="002F7BD2" w:rsidP="00D3689E">
      <w:pPr>
        <w:jc w:val="center"/>
        <w:rPr>
          <w:rFonts w:eastAsia="Times New Roman" w:cs="Arial"/>
          <w:b/>
          <w:sz w:val="24"/>
          <w:szCs w:val="24"/>
        </w:rPr>
      </w:pPr>
    </w:p>
    <w:p w:rsidR="003C7FE4" w:rsidRPr="00681CB8" w:rsidRDefault="00431502" w:rsidP="00D3689E">
      <w:pPr>
        <w:jc w:val="center"/>
        <w:rPr>
          <w:rFonts w:eastAsia="Times New Roman" w:cs="Arial"/>
          <w:b/>
          <w:i/>
          <w:sz w:val="22"/>
          <w:szCs w:val="22"/>
        </w:rPr>
      </w:pPr>
      <w:r w:rsidRPr="00681CB8">
        <w:rPr>
          <w:rFonts w:eastAsia="Times New Roman" w:cs="Arial"/>
          <w:b/>
          <w:i/>
          <w:sz w:val="22"/>
          <w:szCs w:val="22"/>
        </w:rPr>
        <w:t>Worldwide</w:t>
      </w:r>
      <w:r w:rsidR="00D3689E" w:rsidRPr="00681CB8">
        <w:rPr>
          <w:rFonts w:eastAsia="Times New Roman" w:cs="Arial"/>
          <w:b/>
          <w:i/>
          <w:sz w:val="22"/>
          <w:szCs w:val="22"/>
        </w:rPr>
        <w:t xml:space="preserve"> </w:t>
      </w:r>
      <w:r w:rsidR="002517EE" w:rsidRPr="00681CB8">
        <w:rPr>
          <w:rFonts w:eastAsia="Times New Roman" w:cs="Arial"/>
          <w:b/>
          <w:i/>
          <w:sz w:val="22"/>
          <w:szCs w:val="22"/>
        </w:rPr>
        <w:t xml:space="preserve">PC Market </w:t>
      </w:r>
      <w:r w:rsidR="002F7BD2" w:rsidRPr="00681CB8">
        <w:rPr>
          <w:rFonts w:eastAsia="Times New Roman" w:cs="Arial"/>
          <w:b/>
          <w:i/>
          <w:sz w:val="22"/>
          <w:szCs w:val="22"/>
        </w:rPr>
        <w:t>to Show Relative Revival</w:t>
      </w:r>
      <w:r w:rsidR="00870DDC" w:rsidRPr="00681CB8">
        <w:rPr>
          <w:rFonts w:eastAsia="Times New Roman" w:cs="Arial"/>
          <w:b/>
          <w:i/>
          <w:sz w:val="22"/>
          <w:szCs w:val="22"/>
        </w:rPr>
        <w:t xml:space="preserve"> in 2014 after Falling 9.5</w:t>
      </w:r>
      <w:r w:rsidR="002517EE" w:rsidRPr="00681CB8">
        <w:rPr>
          <w:rFonts w:eastAsia="Times New Roman" w:cs="Arial"/>
          <w:b/>
          <w:i/>
          <w:sz w:val="22"/>
          <w:szCs w:val="22"/>
        </w:rPr>
        <w:t xml:space="preserve"> Per Cent</w:t>
      </w:r>
      <w:r w:rsidR="00712E79" w:rsidRPr="00681CB8">
        <w:rPr>
          <w:rFonts w:eastAsia="Times New Roman" w:cs="Arial"/>
          <w:b/>
          <w:i/>
          <w:sz w:val="22"/>
          <w:szCs w:val="22"/>
        </w:rPr>
        <w:t xml:space="preserve"> in 2013</w:t>
      </w:r>
    </w:p>
    <w:p w:rsidR="00350E7A" w:rsidRPr="003C7FE4" w:rsidRDefault="00350E7A" w:rsidP="00D3689E">
      <w:pPr>
        <w:jc w:val="center"/>
        <w:rPr>
          <w:rFonts w:eastAsia="Times New Roman" w:cs="Arial"/>
          <w:b/>
          <w:i/>
          <w:sz w:val="22"/>
          <w:szCs w:val="22"/>
        </w:rPr>
      </w:pPr>
      <w:r>
        <w:rPr>
          <w:rFonts w:eastAsia="Times New Roman" w:cs="Arial"/>
          <w:b/>
          <w:i/>
          <w:sz w:val="22"/>
          <w:szCs w:val="22"/>
        </w:rPr>
        <w:t>Worldwide Tablet Market to Slow</w:t>
      </w:r>
      <w:r w:rsidR="00F1523B">
        <w:rPr>
          <w:rFonts w:eastAsia="Times New Roman" w:cs="Arial"/>
          <w:b/>
          <w:i/>
          <w:sz w:val="22"/>
          <w:szCs w:val="22"/>
        </w:rPr>
        <w:t xml:space="preserve"> D</w:t>
      </w:r>
      <w:r>
        <w:rPr>
          <w:rFonts w:eastAsia="Times New Roman" w:cs="Arial"/>
          <w:b/>
          <w:i/>
          <w:sz w:val="22"/>
          <w:szCs w:val="22"/>
        </w:rPr>
        <w:t xml:space="preserve">own in 2014 and </w:t>
      </w:r>
      <w:r w:rsidR="00681CB8">
        <w:rPr>
          <w:rFonts w:eastAsia="Times New Roman" w:cs="Arial"/>
          <w:b/>
          <w:i/>
          <w:sz w:val="22"/>
          <w:szCs w:val="22"/>
        </w:rPr>
        <w:t>Reach</w:t>
      </w:r>
      <w:r w:rsidRPr="008402B6">
        <w:rPr>
          <w:rFonts w:eastAsia="Times New Roman" w:cs="Arial"/>
          <w:b/>
          <w:i/>
          <w:sz w:val="22"/>
          <w:szCs w:val="22"/>
        </w:rPr>
        <w:t xml:space="preserve"> </w:t>
      </w:r>
      <w:r w:rsidR="005F1EEF" w:rsidRPr="00EC0D45">
        <w:rPr>
          <w:rFonts w:eastAsia="Times New Roman" w:cs="Arial"/>
          <w:b/>
          <w:i/>
          <w:sz w:val="22"/>
          <w:szCs w:val="22"/>
        </w:rPr>
        <w:t>256</w:t>
      </w:r>
      <w:r w:rsidRPr="00EC0D45">
        <w:rPr>
          <w:rFonts w:eastAsia="Times New Roman" w:cs="Arial"/>
          <w:b/>
          <w:i/>
          <w:sz w:val="22"/>
          <w:szCs w:val="22"/>
        </w:rPr>
        <w:t xml:space="preserve"> Million Units</w:t>
      </w:r>
    </w:p>
    <w:p w:rsidR="00962D29" w:rsidRDefault="00962D29" w:rsidP="00D3689E">
      <w:pPr>
        <w:jc w:val="center"/>
        <w:rPr>
          <w:rFonts w:eastAsia="Times New Roman" w:cs="Arial"/>
          <w:b/>
          <w:sz w:val="24"/>
          <w:szCs w:val="24"/>
        </w:rPr>
      </w:pPr>
    </w:p>
    <w:p w:rsidR="00681CB8" w:rsidRDefault="00C60CB8" w:rsidP="00A05E23">
      <w:pPr>
        <w:rPr>
          <w:rFonts w:cs="Arial"/>
          <w:sz w:val="22"/>
          <w:szCs w:val="22"/>
        </w:rPr>
      </w:pPr>
      <w:r>
        <w:rPr>
          <w:rFonts w:cs="Arial"/>
          <w:sz w:val="22"/>
          <w:szCs w:val="22"/>
        </w:rPr>
        <w:t xml:space="preserve">Egham, UK, </w:t>
      </w:r>
      <w:r w:rsidR="00F42710">
        <w:rPr>
          <w:rFonts w:cs="Arial"/>
          <w:sz w:val="22"/>
          <w:szCs w:val="22"/>
        </w:rPr>
        <w:t>7</w:t>
      </w:r>
      <w:r w:rsidR="00F42710" w:rsidRPr="00F42710">
        <w:rPr>
          <w:rFonts w:cs="Arial"/>
          <w:sz w:val="22"/>
          <w:szCs w:val="22"/>
          <w:vertAlign w:val="superscript"/>
        </w:rPr>
        <w:t>th</w:t>
      </w:r>
      <w:r w:rsidR="00F42710">
        <w:rPr>
          <w:rFonts w:cs="Arial"/>
          <w:sz w:val="22"/>
          <w:szCs w:val="22"/>
        </w:rPr>
        <w:t xml:space="preserve"> July</w:t>
      </w:r>
      <w:r w:rsidR="00BA1B4C" w:rsidRPr="001B6BF8">
        <w:rPr>
          <w:rFonts w:cs="Arial"/>
          <w:sz w:val="22"/>
          <w:szCs w:val="22"/>
        </w:rPr>
        <w:t>, 2014</w:t>
      </w:r>
      <w:r w:rsidR="00D3689E" w:rsidRPr="001B6BF8">
        <w:rPr>
          <w:rFonts w:cs="Arial"/>
          <w:sz w:val="22"/>
          <w:szCs w:val="22"/>
        </w:rPr>
        <w:t xml:space="preserve"> </w:t>
      </w:r>
      <w:r w:rsidR="00477A62" w:rsidRPr="001B6BF8">
        <w:rPr>
          <w:rFonts w:cs="Arial"/>
          <w:sz w:val="22"/>
          <w:szCs w:val="22"/>
        </w:rPr>
        <w:t>—</w:t>
      </w:r>
      <w:r w:rsidR="00350E7A">
        <w:rPr>
          <w:rFonts w:cs="Arial"/>
          <w:sz w:val="22"/>
          <w:szCs w:val="22"/>
        </w:rPr>
        <w:t xml:space="preserve"> </w:t>
      </w:r>
      <w:r w:rsidR="002F7BD2">
        <w:rPr>
          <w:rFonts w:cs="Arial"/>
          <w:sz w:val="22"/>
          <w:szCs w:val="22"/>
        </w:rPr>
        <w:t>W</w:t>
      </w:r>
      <w:r w:rsidR="002F7BD2" w:rsidRPr="001B6BF8">
        <w:rPr>
          <w:rFonts w:cs="Arial"/>
          <w:sz w:val="22"/>
          <w:szCs w:val="22"/>
        </w:rPr>
        <w:t>orldwide combined shipments of devices (PCs, tablets</w:t>
      </w:r>
      <w:r w:rsidR="002F7BD2">
        <w:rPr>
          <w:rFonts w:cs="Arial"/>
          <w:sz w:val="22"/>
          <w:szCs w:val="22"/>
        </w:rPr>
        <w:t>, ultramobiles</w:t>
      </w:r>
      <w:r w:rsidR="002F7BD2" w:rsidRPr="001B6BF8">
        <w:rPr>
          <w:rFonts w:cs="Arial"/>
          <w:sz w:val="22"/>
          <w:szCs w:val="22"/>
        </w:rPr>
        <w:t xml:space="preserve"> and mobile pho</w:t>
      </w:r>
      <w:r w:rsidR="002F7BD2">
        <w:rPr>
          <w:rFonts w:cs="Arial"/>
          <w:sz w:val="22"/>
          <w:szCs w:val="22"/>
        </w:rPr>
        <w:t>nes) are projected to reach 2.4 billion units in 2014, a 4.</w:t>
      </w:r>
      <w:r w:rsidR="00F1523B">
        <w:rPr>
          <w:rFonts w:cs="Arial"/>
          <w:sz w:val="22"/>
          <w:szCs w:val="22"/>
        </w:rPr>
        <w:t>2</w:t>
      </w:r>
      <w:r w:rsidR="002F7BD2" w:rsidRPr="001B6BF8">
        <w:rPr>
          <w:rFonts w:cs="Arial"/>
          <w:sz w:val="22"/>
          <w:szCs w:val="22"/>
        </w:rPr>
        <w:t xml:space="preserve"> per</w:t>
      </w:r>
      <w:r w:rsidR="002F7BD2">
        <w:rPr>
          <w:rFonts w:cs="Arial"/>
          <w:sz w:val="22"/>
          <w:szCs w:val="22"/>
        </w:rPr>
        <w:t xml:space="preserve"> </w:t>
      </w:r>
      <w:r w:rsidR="002F7BD2" w:rsidRPr="001B6BF8">
        <w:rPr>
          <w:rFonts w:cs="Arial"/>
          <w:sz w:val="22"/>
          <w:szCs w:val="22"/>
        </w:rPr>
        <w:t>cent increase from 2013</w:t>
      </w:r>
      <w:r w:rsidR="002F7BD2">
        <w:rPr>
          <w:rFonts w:cs="Arial"/>
          <w:sz w:val="22"/>
          <w:szCs w:val="22"/>
        </w:rPr>
        <w:t xml:space="preserve"> (see Table 1), according to Gartner,</w:t>
      </w:r>
      <w:r w:rsidR="00681CB8">
        <w:rPr>
          <w:rFonts w:cs="Arial"/>
          <w:sz w:val="22"/>
          <w:szCs w:val="22"/>
        </w:rPr>
        <w:t xml:space="preserve"> </w:t>
      </w:r>
      <w:r w:rsidR="002F7BD2">
        <w:rPr>
          <w:rFonts w:cs="Arial"/>
          <w:sz w:val="22"/>
          <w:szCs w:val="22"/>
        </w:rPr>
        <w:t>Inc.</w:t>
      </w:r>
    </w:p>
    <w:p w:rsidR="00681CB8" w:rsidRDefault="00681CB8" w:rsidP="00A05E23">
      <w:pPr>
        <w:rPr>
          <w:rFonts w:cs="Arial"/>
          <w:sz w:val="22"/>
          <w:szCs w:val="22"/>
        </w:rPr>
      </w:pPr>
    </w:p>
    <w:p w:rsidR="002F7BD2" w:rsidRDefault="00F1523B" w:rsidP="00681CB8">
      <w:pPr>
        <w:jc w:val="left"/>
        <w:rPr>
          <w:rFonts w:cs="Arial"/>
          <w:sz w:val="22"/>
          <w:szCs w:val="22"/>
        </w:rPr>
      </w:pPr>
      <w:r>
        <w:rPr>
          <w:rFonts w:cs="Arial"/>
          <w:sz w:val="22"/>
          <w:szCs w:val="22"/>
        </w:rPr>
        <w:t>"</w:t>
      </w:r>
      <w:r w:rsidR="00681CB8">
        <w:rPr>
          <w:rFonts w:cs="Arial"/>
          <w:sz w:val="22"/>
          <w:szCs w:val="22"/>
        </w:rPr>
        <w:t xml:space="preserve">2014 </w:t>
      </w:r>
      <w:r w:rsidR="002F7BD2">
        <w:rPr>
          <w:rFonts w:cs="Arial"/>
          <w:sz w:val="22"/>
          <w:szCs w:val="22"/>
        </w:rPr>
        <w:t>will be marked by a relative revival of the global PC market,</w:t>
      </w:r>
      <w:r>
        <w:rPr>
          <w:rFonts w:cs="Arial"/>
          <w:sz w:val="22"/>
          <w:szCs w:val="22"/>
        </w:rPr>
        <w:t>"</w:t>
      </w:r>
      <w:r w:rsidR="00681CB8">
        <w:rPr>
          <w:rFonts w:cs="Arial"/>
          <w:sz w:val="22"/>
          <w:szCs w:val="22"/>
        </w:rPr>
        <w:t xml:space="preserve"> said Ranjit Atwal, research director at Gartner. After declining 9.5 per cent in 2013, the global PC market </w:t>
      </w:r>
      <w:r w:rsidR="00681CB8" w:rsidRPr="008402B6">
        <w:rPr>
          <w:rFonts w:cs="Arial"/>
          <w:sz w:val="22"/>
          <w:szCs w:val="22"/>
        </w:rPr>
        <w:t>(</w:t>
      </w:r>
      <w:r w:rsidR="00681CB8">
        <w:rPr>
          <w:rFonts w:cs="Arial"/>
          <w:sz w:val="22"/>
          <w:szCs w:val="22"/>
        </w:rPr>
        <w:t>d</w:t>
      </w:r>
      <w:r w:rsidR="00681CB8" w:rsidRPr="008402B6">
        <w:rPr>
          <w:rFonts w:cs="Arial"/>
          <w:sz w:val="22"/>
          <w:szCs w:val="22"/>
        </w:rPr>
        <w:t xml:space="preserve">esk-based, notebook and </w:t>
      </w:r>
      <w:r>
        <w:rPr>
          <w:rFonts w:cs="Arial"/>
          <w:sz w:val="22"/>
          <w:szCs w:val="22"/>
        </w:rPr>
        <w:t xml:space="preserve">premium </w:t>
      </w:r>
      <w:proofErr w:type="spellStart"/>
      <w:r w:rsidR="00681CB8" w:rsidRPr="008402B6">
        <w:rPr>
          <w:rFonts w:cs="Arial"/>
          <w:sz w:val="22"/>
          <w:szCs w:val="22"/>
        </w:rPr>
        <w:t>ultramobile</w:t>
      </w:r>
      <w:proofErr w:type="spellEnd"/>
      <w:r w:rsidR="00681CB8" w:rsidRPr="008402B6">
        <w:rPr>
          <w:rFonts w:cs="Arial"/>
          <w:sz w:val="22"/>
          <w:szCs w:val="22"/>
        </w:rPr>
        <w:t xml:space="preserve">) </w:t>
      </w:r>
      <w:r w:rsidR="002F7BD2">
        <w:rPr>
          <w:rFonts w:cs="Arial"/>
          <w:sz w:val="22"/>
          <w:szCs w:val="22"/>
        </w:rPr>
        <w:t>is on pace to con</w:t>
      </w:r>
      <w:r w:rsidR="00681CB8">
        <w:rPr>
          <w:rFonts w:cs="Arial"/>
          <w:sz w:val="22"/>
          <w:szCs w:val="22"/>
        </w:rPr>
        <w:t>tract only 2.9 per cent in 2014.</w:t>
      </w:r>
    </w:p>
    <w:p w:rsidR="002F7BD2" w:rsidRDefault="002F7BD2" w:rsidP="00A05E23">
      <w:pPr>
        <w:rPr>
          <w:rFonts w:cs="Arial"/>
          <w:sz w:val="22"/>
          <w:szCs w:val="22"/>
        </w:rPr>
      </w:pPr>
    </w:p>
    <w:p w:rsidR="00712E79" w:rsidRDefault="00F1523B" w:rsidP="00681CB8">
      <w:pPr>
        <w:jc w:val="left"/>
        <w:rPr>
          <w:rFonts w:cs="Arial"/>
          <w:sz w:val="22"/>
          <w:szCs w:val="22"/>
        </w:rPr>
      </w:pPr>
      <w:r>
        <w:rPr>
          <w:rFonts w:cs="Arial"/>
          <w:sz w:val="22"/>
          <w:szCs w:val="22"/>
        </w:rPr>
        <w:t>"</w:t>
      </w:r>
      <w:r w:rsidR="00350E7A">
        <w:rPr>
          <w:rFonts w:cs="Arial"/>
          <w:sz w:val="22"/>
          <w:szCs w:val="22"/>
        </w:rPr>
        <w:t>B</w:t>
      </w:r>
      <w:r w:rsidR="00712E79">
        <w:rPr>
          <w:rFonts w:cs="Arial"/>
          <w:sz w:val="22"/>
          <w:szCs w:val="22"/>
        </w:rPr>
        <w:t>usiness upgrade</w:t>
      </w:r>
      <w:r>
        <w:rPr>
          <w:rFonts w:cs="Arial"/>
          <w:sz w:val="22"/>
          <w:szCs w:val="22"/>
        </w:rPr>
        <w:t>s</w:t>
      </w:r>
      <w:r w:rsidR="00712E79">
        <w:rPr>
          <w:rFonts w:cs="Arial"/>
          <w:sz w:val="22"/>
          <w:szCs w:val="22"/>
        </w:rPr>
        <w:t xml:space="preserve"> from </w:t>
      </w:r>
      <w:r w:rsidR="00C06220">
        <w:rPr>
          <w:rFonts w:cs="Arial"/>
          <w:sz w:val="22"/>
          <w:szCs w:val="22"/>
        </w:rPr>
        <w:t>W</w:t>
      </w:r>
      <w:r w:rsidR="00712E79">
        <w:rPr>
          <w:rFonts w:cs="Arial"/>
          <w:sz w:val="22"/>
          <w:szCs w:val="22"/>
        </w:rPr>
        <w:t xml:space="preserve">indows XP </w:t>
      </w:r>
      <w:r w:rsidR="00DA56EC">
        <w:rPr>
          <w:rFonts w:cs="Arial"/>
          <w:sz w:val="22"/>
          <w:szCs w:val="22"/>
        </w:rPr>
        <w:t>and</w:t>
      </w:r>
      <w:r w:rsidR="00712E79">
        <w:rPr>
          <w:rFonts w:cs="Arial"/>
          <w:sz w:val="22"/>
          <w:szCs w:val="22"/>
        </w:rPr>
        <w:t xml:space="preserve"> </w:t>
      </w:r>
      <w:r>
        <w:rPr>
          <w:rFonts w:cs="Arial"/>
          <w:sz w:val="22"/>
          <w:szCs w:val="22"/>
        </w:rPr>
        <w:t xml:space="preserve">the </w:t>
      </w:r>
      <w:r w:rsidR="00712E79">
        <w:rPr>
          <w:rFonts w:cs="Arial"/>
          <w:sz w:val="22"/>
          <w:szCs w:val="22"/>
        </w:rPr>
        <w:t xml:space="preserve">general business replacement cycle will </w:t>
      </w:r>
      <w:r w:rsidR="00B64124">
        <w:rPr>
          <w:rFonts w:cs="Arial"/>
          <w:sz w:val="22"/>
          <w:szCs w:val="22"/>
        </w:rPr>
        <w:t>lessen</w:t>
      </w:r>
      <w:r w:rsidR="00712E79">
        <w:rPr>
          <w:rFonts w:cs="Arial"/>
          <w:sz w:val="22"/>
          <w:szCs w:val="22"/>
        </w:rPr>
        <w:t xml:space="preserve"> </w:t>
      </w:r>
      <w:r w:rsidR="00B64124">
        <w:rPr>
          <w:rFonts w:cs="Arial"/>
          <w:sz w:val="22"/>
          <w:szCs w:val="22"/>
        </w:rPr>
        <w:t>t</w:t>
      </w:r>
      <w:r w:rsidR="00DA56EC">
        <w:rPr>
          <w:rFonts w:cs="Arial"/>
          <w:sz w:val="22"/>
          <w:szCs w:val="22"/>
        </w:rPr>
        <w:t>he downward trend</w:t>
      </w:r>
      <w:r w:rsidR="00350E7A">
        <w:rPr>
          <w:rFonts w:cs="Arial"/>
          <w:sz w:val="22"/>
          <w:szCs w:val="22"/>
        </w:rPr>
        <w:t>, especially in Western Europe,</w:t>
      </w:r>
      <w:r>
        <w:rPr>
          <w:rFonts w:cs="Arial"/>
          <w:sz w:val="22"/>
          <w:szCs w:val="22"/>
        </w:rPr>
        <w:t>"</w:t>
      </w:r>
      <w:r w:rsidR="00350E7A">
        <w:rPr>
          <w:rFonts w:cs="Arial"/>
          <w:sz w:val="22"/>
          <w:szCs w:val="22"/>
        </w:rPr>
        <w:t xml:space="preserve"> said </w:t>
      </w:r>
      <w:proofErr w:type="spellStart"/>
      <w:r w:rsidR="00681CB8">
        <w:rPr>
          <w:rFonts w:cs="Arial"/>
          <w:sz w:val="22"/>
          <w:szCs w:val="22"/>
        </w:rPr>
        <w:t>Mr</w:t>
      </w:r>
      <w:proofErr w:type="spellEnd"/>
      <w:r w:rsidR="00681CB8">
        <w:rPr>
          <w:rFonts w:cs="Arial"/>
          <w:sz w:val="22"/>
          <w:szCs w:val="22"/>
        </w:rPr>
        <w:t xml:space="preserve"> Atwal</w:t>
      </w:r>
      <w:r w:rsidR="00350E7A">
        <w:rPr>
          <w:rFonts w:cs="Arial"/>
          <w:sz w:val="22"/>
          <w:szCs w:val="22"/>
        </w:rPr>
        <w:t xml:space="preserve">. </w:t>
      </w:r>
      <w:r>
        <w:rPr>
          <w:rFonts w:cs="Arial"/>
          <w:sz w:val="22"/>
          <w:szCs w:val="22"/>
        </w:rPr>
        <w:t>"</w:t>
      </w:r>
      <w:r w:rsidR="00350E7A">
        <w:rPr>
          <w:rFonts w:cs="Arial"/>
          <w:sz w:val="22"/>
          <w:szCs w:val="22"/>
        </w:rPr>
        <w:t>This year, w</w:t>
      </w:r>
      <w:r w:rsidR="00712E79">
        <w:rPr>
          <w:rFonts w:cs="Arial"/>
          <w:sz w:val="22"/>
          <w:szCs w:val="22"/>
        </w:rPr>
        <w:t xml:space="preserve">e </w:t>
      </w:r>
      <w:r w:rsidR="00350E7A">
        <w:rPr>
          <w:rFonts w:cs="Arial"/>
          <w:sz w:val="22"/>
          <w:szCs w:val="22"/>
        </w:rPr>
        <w:t>anticipate nearly 60 million</w:t>
      </w:r>
      <w:r w:rsidR="005D78FC">
        <w:rPr>
          <w:rFonts w:cs="Arial"/>
          <w:sz w:val="22"/>
          <w:szCs w:val="22"/>
        </w:rPr>
        <w:t xml:space="preserve"> professional</w:t>
      </w:r>
      <w:r w:rsidR="00350E7A">
        <w:rPr>
          <w:rFonts w:cs="Arial"/>
          <w:sz w:val="22"/>
          <w:szCs w:val="22"/>
        </w:rPr>
        <w:t xml:space="preserve"> PC</w:t>
      </w:r>
      <w:r w:rsidR="00712E79">
        <w:rPr>
          <w:rFonts w:cs="Arial"/>
          <w:sz w:val="22"/>
          <w:szCs w:val="22"/>
        </w:rPr>
        <w:t xml:space="preserve"> replac</w:t>
      </w:r>
      <w:r w:rsidR="00350E7A">
        <w:rPr>
          <w:rFonts w:cs="Arial"/>
          <w:sz w:val="22"/>
          <w:szCs w:val="22"/>
        </w:rPr>
        <w:t>e</w:t>
      </w:r>
      <w:r w:rsidR="00712E79">
        <w:rPr>
          <w:rFonts w:cs="Arial"/>
          <w:sz w:val="22"/>
          <w:szCs w:val="22"/>
        </w:rPr>
        <w:t xml:space="preserve">ments </w:t>
      </w:r>
      <w:r w:rsidR="00350E7A">
        <w:rPr>
          <w:rFonts w:cs="Arial"/>
          <w:sz w:val="22"/>
          <w:szCs w:val="22"/>
        </w:rPr>
        <w:t>in mature market</w:t>
      </w:r>
      <w:r w:rsidR="00C06220">
        <w:rPr>
          <w:rFonts w:cs="Arial"/>
          <w:sz w:val="22"/>
          <w:szCs w:val="22"/>
        </w:rPr>
        <w:t>s</w:t>
      </w:r>
      <w:r w:rsidR="00350E7A">
        <w:rPr>
          <w:rFonts w:cs="Arial"/>
          <w:sz w:val="22"/>
          <w:szCs w:val="22"/>
        </w:rPr>
        <w:t>.</w:t>
      </w:r>
      <w:r>
        <w:rPr>
          <w:rFonts w:cs="Arial"/>
          <w:sz w:val="22"/>
          <w:szCs w:val="22"/>
        </w:rPr>
        <w:t>"</w:t>
      </w:r>
      <w:r w:rsidR="00E176E0" w:rsidRPr="00E176E0">
        <w:rPr>
          <w:color w:val="000000" w:themeColor="text1"/>
          <w:sz w:val="22"/>
          <w:szCs w:val="22"/>
        </w:rPr>
        <w:t xml:space="preserve"> </w:t>
      </w:r>
      <w:r w:rsidR="00E176E0">
        <w:rPr>
          <w:color w:val="000000" w:themeColor="text1"/>
          <w:sz w:val="22"/>
          <w:szCs w:val="22"/>
        </w:rPr>
        <w:t>The traditional PC market</w:t>
      </w:r>
      <w:r w:rsidR="008402B6">
        <w:rPr>
          <w:color w:val="000000" w:themeColor="text1"/>
          <w:sz w:val="22"/>
          <w:szCs w:val="22"/>
        </w:rPr>
        <w:t xml:space="preserve"> (desk-based and </w:t>
      </w:r>
      <w:r w:rsidR="005E44D6">
        <w:rPr>
          <w:color w:val="000000" w:themeColor="text1"/>
          <w:sz w:val="22"/>
          <w:szCs w:val="22"/>
        </w:rPr>
        <w:t>noteb</w:t>
      </w:r>
      <w:r w:rsidR="008402B6">
        <w:rPr>
          <w:color w:val="000000" w:themeColor="text1"/>
          <w:sz w:val="22"/>
          <w:szCs w:val="22"/>
        </w:rPr>
        <w:t>ook</w:t>
      </w:r>
      <w:r w:rsidR="005E44D6">
        <w:rPr>
          <w:color w:val="000000" w:themeColor="text1"/>
          <w:sz w:val="22"/>
          <w:szCs w:val="22"/>
        </w:rPr>
        <w:t>)</w:t>
      </w:r>
      <w:r w:rsidR="00E176E0">
        <w:rPr>
          <w:color w:val="000000" w:themeColor="text1"/>
          <w:sz w:val="22"/>
          <w:szCs w:val="22"/>
        </w:rPr>
        <w:t xml:space="preserve"> will follow the same </w:t>
      </w:r>
      <w:r w:rsidR="005D78FC">
        <w:rPr>
          <w:color w:val="000000" w:themeColor="text1"/>
          <w:sz w:val="22"/>
          <w:szCs w:val="22"/>
        </w:rPr>
        <w:t xml:space="preserve">downward </w:t>
      </w:r>
      <w:r w:rsidR="00E176E0">
        <w:rPr>
          <w:color w:val="000000" w:themeColor="text1"/>
          <w:sz w:val="22"/>
          <w:szCs w:val="22"/>
        </w:rPr>
        <w:t>trend and is on pace to con</w:t>
      </w:r>
      <w:r w:rsidR="005E44D6">
        <w:rPr>
          <w:color w:val="000000" w:themeColor="text1"/>
          <w:sz w:val="22"/>
          <w:szCs w:val="22"/>
        </w:rPr>
        <w:t>tract 6.7 per cent in 2014 and 5.3</w:t>
      </w:r>
      <w:r w:rsidR="001C442A">
        <w:rPr>
          <w:color w:val="000000" w:themeColor="text1"/>
          <w:sz w:val="22"/>
          <w:szCs w:val="22"/>
        </w:rPr>
        <w:t xml:space="preserve"> per cent in 2015</w:t>
      </w:r>
      <w:r w:rsidR="00E176E0">
        <w:rPr>
          <w:color w:val="000000" w:themeColor="text1"/>
          <w:sz w:val="22"/>
          <w:szCs w:val="22"/>
        </w:rPr>
        <w:t>.</w:t>
      </w:r>
    </w:p>
    <w:p w:rsidR="00712E79" w:rsidRDefault="00712E79" w:rsidP="00A05E23">
      <w:pPr>
        <w:rPr>
          <w:rFonts w:cs="Arial"/>
          <w:sz w:val="22"/>
          <w:szCs w:val="22"/>
        </w:rPr>
      </w:pPr>
    </w:p>
    <w:p w:rsidR="00350E7A" w:rsidRPr="001B6BF8" w:rsidRDefault="00350E7A" w:rsidP="00350E7A">
      <w:pPr>
        <w:pStyle w:val="ListBullet"/>
        <w:spacing w:before="0"/>
        <w:ind w:left="0" w:firstLine="0"/>
        <w:rPr>
          <w:rFonts w:cs="Arial"/>
          <w:b/>
          <w:sz w:val="22"/>
          <w:szCs w:val="22"/>
        </w:rPr>
      </w:pPr>
      <w:r w:rsidRPr="001B6BF8">
        <w:rPr>
          <w:rFonts w:cs="Arial"/>
          <w:b/>
          <w:sz w:val="22"/>
          <w:szCs w:val="22"/>
        </w:rPr>
        <w:t>Table 1</w:t>
      </w:r>
    </w:p>
    <w:p w:rsidR="00350E7A" w:rsidRDefault="00350E7A" w:rsidP="00350E7A">
      <w:pPr>
        <w:pStyle w:val="Title"/>
        <w:jc w:val="left"/>
        <w:rPr>
          <w:rFonts w:ascii="Arial" w:hAnsi="Arial" w:cs="Arial"/>
          <w:sz w:val="22"/>
          <w:szCs w:val="22"/>
        </w:rPr>
      </w:pPr>
      <w:r w:rsidRPr="001B6BF8">
        <w:rPr>
          <w:rFonts w:ascii="Arial" w:hAnsi="Arial" w:cs="Arial"/>
          <w:sz w:val="22"/>
          <w:szCs w:val="22"/>
        </w:rPr>
        <w:t>Worldwide Device Shipments by Segment (</w:t>
      </w:r>
      <w:r w:rsidR="003C151C">
        <w:rPr>
          <w:rFonts w:ascii="Arial" w:hAnsi="Arial" w:cs="Arial"/>
          <w:sz w:val="22"/>
          <w:szCs w:val="22"/>
        </w:rPr>
        <w:t>Thousands</w:t>
      </w:r>
      <w:r w:rsidRPr="001B6BF8">
        <w:rPr>
          <w:rFonts w:ascii="Arial" w:hAnsi="Arial" w:cs="Arial"/>
          <w:sz w:val="22"/>
          <w:szCs w:val="22"/>
        </w:rPr>
        <w:t xml:space="preserve"> of Units)</w:t>
      </w:r>
    </w:p>
    <w:tbl>
      <w:tblPr>
        <w:tblW w:w="9640" w:type="dxa"/>
        <w:tblInd w:w="89" w:type="dxa"/>
        <w:tblLook w:val="04A0"/>
      </w:tblPr>
      <w:tblGrid>
        <w:gridCol w:w="4414"/>
        <w:gridCol w:w="1426"/>
        <w:gridCol w:w="1900"/>
        <w:gridCol w:w="1900"/>
      </w:tblGrid>
      <w:tr w:rsidR="000348F2" w:rsidRPr="000348F2" w:rsidTr="003C151C">
        <w:trPr>
          <w:trHeight w:val="300"/>
        </w:trPr>
        <w:tc>
          <w:tcPr>
            <w:tcW w:w="4414" w:type="dxa"/>
            <w:tcBorders>
              <w:top w:val="single" w:sz="4" w:space="0" w:color="auto"/>
              <w:left w:val="single" w:sz="4" w:space="0" w:color="auto"/>
              <w:bottom w:val="single" w:sz="4" w:space="0" w:color="auto"/>
              <w:right w:val="nil"/>
            </w:tcBorders>
            <w:shd w:val="clear" w:color="auto" w:fill="auto"/>
            <w:noWrap/>
            <w:vAlign w:val="bottom"/>
            <w:hideMark/>
          </w:tcPr>
          <w:p w:rsidR="000348F2" w:rsidRPr="000348F2" w:rsidRDefault="000348F2" w:rsidP="000348F2">
            <w:pPr>
              <w:jc w:val="left"/>
              <w:rPr>
                <w:rFonts w:eastAsia="Times New Roman" w:cs="Arial"/>
                <w:b/>
                <w:bCs/>
                <w:color w:val="000000"/>
                <w:lang w:eastAsia="en-GB"/>
              </w:rPr>
            </w:pPr>
            <w:r w:rsidRPr="000348F2">
              <w:rPr>
                <w:rFonts w:eastAsia="Times New Roman" w:cs="Arial"/>
                <w:b/>
                <w:bCs/>
                <w:color w:val="000000"/>
                <w:lang w:eastAsia="en-GB"/>
              </w:rPr>
              <w:t>Device Type</w:t>
            </w:r>
          </w:p>
        </w:tc>
        <w:tc>
          <w:tcPr>
            <w:tcW w:w="1426" w:type="dxa"/>
            <w:tcBorders>
              <w:top w:val="single" w:sz="4" w:space="0" w:color="auto"/>
              <w:left w:val="nil"/>
              <w:bottom w:val="single" w:sz="4" w:space="0" w:color="auto"/>
              <w:right w:val="nil"/>
            </w:tcBorders>
            <w:shd w:val="clear" w:color="auto" w:fill="auto"/>
            <w:noWrap/>
            <w:vAlign w:val="bottom"/>
            <w:hideMark/>
          </w:tcPr>
          <w:p w:rsidR="000348F2" w:rsidRPr="000348F2" w:rsidRDefault="000348F2" w:rsidP="00681CB8">
            <w:pPr>
              <w:jc w:val="right"/>
              <w:rPr>
                <w:rFonts w:eastAsia="Times New Roman" w:cs="Arial"/>
                <w:b/>
                <w:bCs/>
                <w:color w:val="000000"/>
                <w:lang w:eastAsia="en-GB"/>
              </w:rPr>
            </w:pPr>
            <w:r w:rsidRPr="000348F2">
              <w:rPr>
                <w:rFonts w:eastAsia="Times New Roman" w:cs="Arial"/>
                <w:b/>
                <w:bCs/>
                <w:color w:val="000000"/>
                <w:lang w:eastAsia="en-GB"/>
              </w:rPr>
              <w:t>20</w:t>
            </w:r>
            <w:r w:rsidR="00F966C1">
              <w:rPr>
                <w:rFonts w:eastAsia="Times New Roman" w:cs="Arial"/>
                <w:b/>
                <w:bCs/>
                <w:color w:val="000000"/>
                <w:lang w:eastAsia="en-GB"/>
              </w:rPr>
              <w:t>1</w:t>
            </w:r>
            <w:r w:rsidRPr="000348F2">
              <w:rPr>
                <w:rFonts w:eastAsia="Times New Roman" w:cs="Arial"/>
                <w:b/>
                <w:bCs/>
                <w:color w:val="000000"/>
                <w:lang w:eastAsia="en-GB"/>
              </w:rPr>
              <w:t>3</w:t>
            </w:r>
          </w:p>
        </w:tc>
        <w:tc>
          <w:tcPr>
            <w:tcW w:w="1900" w:type="dxa"/>
            <w:tcBorders>
              <w:top w:val="single" w:sz="4" w:space="0" w:color="auto"/>
              <w:left w:val="nil"/>
              <w:bottom w:val="single" w:sz="4" w:space="0" w:color="auto"/>
              <w:right w:val="nil"/>
            </w:tcBorders>
            <w:shd w:val="clear" w:color="auto" w:fill="auto"/>
            <w:noWrap/>
            <w:vAlign w:val="bottom"/>
            <w:hideMark/>
          </w:tcPr>
          <w:p w:rsidR="000348F2" w:rsidRPr="000348F2" w:rsidRDefault="000348F2" w:rsidP="00681CB8">
            <w:pPr>
              <w:jc w:val="right"/>
              <w:rPr>
                <w:rFonts w:eastAsia="Times New Roman" w:cs="Arial"/>
                <w:b/>
                <w:bCs/>
                <w:color w:val="000000"/>
                <w:lang w:eastAsia="en-GB"/>
              </w:rPr>
            </w:pPr>
            <w:r w:rsidRPr="000348F2">
              <w:rPr>
                <w:rFonts w:eastAsia="Times New Roman" w:cs="Arial"/>
                <w:b/>
                <w:bCs/>
                <w:color w:val="000000"/>
                <w:lang w:eastAsia="en-GB"/>
              </w:rPr>
              <w:t>2014</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rsidR="000348F2" w:rsidRPr="000348F2" w:rsidRDefault="000348F2" w:rsidP="00681CB8">
            <w:pPr>
              <w:jc w:val="right"/>
              <w:rPr>
                <w:rFonts w:eastAsia="Times New Roman" w:cs="Arial"/>
                <w:b/>
                <w:bCs/>
                <w:color w:val="000000"/>
                <w:lang w:eastAsia="en-GB"/>
              </w:rPr>
            </w:pPr>
            <w:r w:rsidRPr="000348F2">
              <w:rPr>
                <w:rFonts w:eastAsia="Times New Roman" w:cs="Arial"/>
                <w:b/>
                <w:bCs/>
                <w:color w:val="000000"/>
                <w:lang w:eastAsia="en-GB"/>
              </w:rPr>
              <w:t>2015</w:t>
            </w:r>
          </w:p>
        </w:tc>
      </w:tr>
      <w:tr w:rsidR="000348F2" w:rsidRPr="000348F2" w:rsidTr="003C151C">
        <w:trPr>
          <w:trHeight w:val="300"/>
        </w:trPr>
        <w:tc>
          <w:tcPr>
            <w:tcW w:w="4414" w:type="dxa"/>
            <w:tcBorders>
              <w:top w:val="nil"/>
              <w:left w:val="single" w:sz="4" w:space="0" w:color="auto"/>
              <w:bottom w:val="nil"/>
              <w:right w:val="nil"/>
            </w:tcBorders>
            <w:shd w:val="clear" w:color="auto" w:fill="auto"/>
            <w:noWrap/>
            <w:vAlign w:val="bottom"/>
            <w:hideMark/>
          </w:tcPr>
          <w:p w:rsidR="000348F2" w:rsidRPr="000348F2" w:rsidRDefault="000348F2" w:rsidP="00681CB8">
            <w:pPr>
              <w:rPr>
                <w:rFonts w:cs="Arial"/>
              </w:rPr>
            </w:pPr>
            <w:r w:rsidRPr="000348F2">
              <w:rPr>
                <w:rFonts w:cs="Arial"/>
              </w:rPr>
              <w:t>Traditonal PCs (Desk-Based and Notebook)</w:t>
            </w:r>
          </w:p>
        </w:tc>
        <w:tc>
          <w:tcPr>
            <w:tcW w:w="1426" w:type="dxa"/>
            <w:tcBorders>
              <w:top w:val="nil"/>
              <w:left w:val="nil"/>
              <w:bottom w:val="nil"/>
              <w:right w:val="nil"/>
            </w:tcBorders>
            <w:shd w:val="clear" w:color="auto" w:fill="auto"/>
            <w:vAlign w:val="bottom"/>
            <w:hideMark/>
          </w:tcPr>
          <w:p w:rsidR="000348F2" w:rsidRPr="00C04C47" w:rsidRDefault="000348F2" w:rsidP="00681CB8">
            <w:pPr>
              <w:autoSpaceDE w:val="0"/>
              <w:autoSpaceDN w:val="0"/>
              <w:jc w:val="right"/>
              <w:rPr>
                <w:rFonts w:eastAsiaTheme="minorHAnsi" w:cs="Arial"/>
                <w:color w:val="000000"/>
              </w:rPr>
            </w:pPr>
            <w:r w:rsidRPr="00C04C47">
              <w:rPr>
                <w:rFonts w:eastAsiaTheme="minorHAnsi" w:cs="Arial"/>
                <w:color w:val="000000"/>
              </w:rPr>
              <w:t>296,131</w:t>
            </w:r>
          </w:p>
        </w:tc>
        <w:tc>
          <w:tcPr>
            <w:tcW w:w="1900" w:type="dxa"/>
            <w:tcBorders>
              <w:top w:val="nil"/>
              <w:left w:val="nil"/>
              <w:bottom w:val="nil"/>
              <w:right w:val="nil"/>
            </w:tcBorders>
            <w:shd w:val="clear" w:color="auto" w:fill="auto"/>
            <w:vAlign w:val="bottom"/>
            <w:hideMark/>
          </w:tcPr>
          <w:p w:rsidR="000348F2" w:rsidRPr="00C04C47" w:rsidRDefault="000348F2" w:rsidP="00681CB8">
            <w:pPr>
              <w:autoSpaceDE w:val="0"/>
              <w:autoSpaceDN w:val="0"/>
              <w:jc w:val="right"/>
              <w:rPr>
                <w:rFonts w:eastAsiaTheme="minorHAnsi" w:cs="Arial"/>
                <w:color w:val="000000"/>
              </w:rPr>
            </w:pPr>
            <w:r w:rsidRPr="00C04C47">
              <w:rPr>
                <w:rFonts w:eastAsiaTheme="minorHAnsi" w:cs="Arial"/>
                <w:color w:val="000000"/>
              </w:rPr>
              <w:t>276,221</w:t>
            </w:r>
          </w:p>
        </w:tc>
        <w:tc>
          <w:tcPr>
            <w:tcW w:w="1900" w:type="dxa"/>
            <w:tcBorders>
              <w:top w:val="nil"/>
              <w:left w:val="nil"/>
              <w:bottom w:val="nil"/>
              <w:right w:val="single" w:sz="4" w:space="0" w:color="auto"/>
            </w:tcBorders>
            <w:shd w:val="clear" w:color="auto" w:fill="auto"/>
            <w:vAlign w:val="bottom"/>
            <w:hideMark/>
          </w:tcPr>
          <w:p w:rsidR="000348F2" w:rsidRPr="00C04C47" w:rsidRDefault="000348F2" w:rsidP="00681CB8">
            <w:pPr>
              <w:autoSpaceDE w:val="0"/>
              <w:autoSpaceDN w:val="0"/>
              <w:jc w:val="right"/>
              <w:rPr>
                <w:rFonts w:eastAsiaTheme="minorHAnsi" w:cs="Arial"/>
                <w:color w:val="000000"/>
              </w:rPr>
            </w:pPr>
            <w:r w:rsidRPr="00C04C47">
              <w:rPr>
                <w:rFonts w:eastAsiaTheme="minorHAnsi" w:cs="Arial"/>
                <w:color w:val="000000"/>
              </w:rPr>
              <w:t>261,657</w:t>
            </w:r>
          </w:p>
        </w:tc>
      </w:tr>
      <w:tr w:rsidR="000348F2" w:rsidRPr="000348F2" w:rsidTr="003C151C">
        <w:trPr>
          <w:trHeight w:val="300"/>
        </w:trPr>
        <w:tc>
          <w:tcPr>
            <w:tcW w:w="4414" w:type="dxa"/>
            <w:tcBorders>
              <w:top w:val="nil"/>
              <w:left w:val="single" w:sz="4" w:space="0" w:color="auto"/>
              <w:bottom w:val="nil"/>
              <w:right w:val="nil"/>
            </w:tcBorders>
            <w:shd w:val="clear" w:color="auto" w:fill="auto"/>
            <w:noWrap/>
            <w:vAlign w:val="bottom"/>
            <w:hideMark/>
          </w:tcPr>
          <w:p w:rsidR="007737FD" w:rsidRDefault="000348F2">
            <w:pPr>
              <w:rPr>
                <w:rFonts w:cs="Arial"/>
              </w:rPr>
            </w:pPr>
            <w:r w:rsidRPr="000348F2">
              <w:rPr>
                <w:rFonts w:cs="Arial"/>
              </w:rPr>
              <w:t>Ultramobile</w:t>
            </w:r>
            <w:r w:rsidR="00DA6DD5">
              <w:rPr>
                <w:rFonts w:cs="Arial"/>
              </w:rPr>
              <w:t>s</w:t>
            </w:r>
            <w:r w:rsidR="00F1523B">
              <w:rPr>
                <w:rFonts w:cs="Arial"/>
              </w:rPr>
              <w:t>,</w:t>
            </w:r>
            <w:r w:rsidRPr="000348F2">
              <w:rPr>
                <w:rFonts w:cs="Arial"/>
              </w:rPr>
              <w:t xml:space="preserve"> Premium</w:t>
            </w:r>
            <w:r w:rsidR="003C151C">
              <w:rPr>
                <w:rFonts w:cs="Arial"/>
              </w:rPr>
              <w:t xml:space="preserve"> </w:t>
            </w:r>
          </w:p>
        </w:tc>
        <w:tc>
          <w:tcPr>
            <w:tcW w:w="1426" w:type="dxa"/>
            <w:tcBorders>
              <w:top w:val="nil"/>
              <w:left w:val="nil"/>
              <w:bottom w:val="nil"/>
              <w:right w:val="nil"/>
            </w:tcBorders>
            <w:shd w:val="clear" w:color="auto" w:fill="auto"/>
            <w:noWrap/>
            <w:vAlign w:val="bottom"/>
            <w:hideMark/>
          </w:tcPr>
          <w:p w:rsidR="000348F2" w:rsidRPr="00C04C47" w:rsidRDefault="005F1EEF" w:rsidP="00681CB8">
            <w:pPr>
              <w:autoSpaceDE w:val="0"/>
              <w:autoSpaceDN w:val="0"/>
              <w:jc w:val="right"/>
              <w:rPr>
                <w:rFonts w:eastAsiaTheme="minorHAnsi" w:cs="Arial"/>
                <w:color w:val="000000"/>
              </w:rPr>
            </w:pPr>
            <w:r w:rsidRPr="00C04C47">
              <w:rPr>
                <w:rFonts w:eastAsiaTheme="minorHAnsi" w:cs="Arial"/>
                <w:color w:val="000000"/>
              </w:rPr>
              <w:t>21,517</w:t>
            </w:r>
          </w:p>
        </w:tc>
        <w:tc>
          <w:tcPr>
            <w:tcW w:w="1900" w:type="dxa"/>
            <w:tcBorders>
              <w:top w:val="nil"/>
              <w:left w:val="nil"/>
              <w:bottom w:val="nil"/>
              <w:right w:val="nil"/>
            </w:tcBorders>
            <w:shd w:val="clear" w:color="auto" w:fill="auto"/>
            <w:noWrap/>
            <w:vAlign w:val="bottom"/>
            <w:hideMark/>
          </w:tcPr>
          <w:p w:rsidR="000348F2" w:rsidRPr="00C04C47" w:rsidRDefault="005F1EEF" w:rsidP="00681CB8">
            <w:pPr>
              <w:autoSpaceDE w:val="0"/>
              <w:autoSpaceDN w:val="0"/>
              <w:jc w:val="right"/>
              <w:rPr>
                <w:rFonts w:eastAsiaTheme="minorHAnsi" w:cs="Arial"/>
                <w:color w:val="000000"/>
              </w:rPr>
            </w:pPr>
            <w:r w:rsidRPr="00C04C47">
              <w:rPr>
                <w:rFonts w:eastAsiaTheme="minorHAnsi" w:cs="Arial"/>
                <w:color w:val="000000"/>
              </w:rPr>
              <w:t>32,251</w:t>
            </w:r>
          </w:p>
        </w:tc>
        <w:tc>
          <w:tcPr>
            <w:tcW w:w="1900" w:type="dxa"/>
            <w:tcBorders>
              <w:top w:val="nil"/>
              <w:left w:val="nil"/>
              <w:bottom w:val="nil"/>
              <w:right w:val="single" w:sz="4" w:space="0" w:color="auto"/>
            </w:tcBorders>
            <w:shd w:val="clear" w:color="auto" w:fill="auto"/>
            <w:noWrap/>
            <w:vAlign w:val="bottom"/>
            <w:hideMark/>
          </w:tcPr>
          <w:p w:rsidR="000348F2" w:rsidRPr="00C04C47" w:rsidRDefault="005F1EEF" w:rsidP="00681CB8">
            <w:pPr>
              <w:autoSpaceDE w:val="0"/>
              <w:autoSpaceDN w:val="0"/>
              <w:jc w:val="right"/>
              <w:rPr>
                <w:rFonts w:eastAsiaTheme="minorHAnsi" w:cs="Arial"/>
                <w:color w:val="000000"/>
              </w:rPr>
            </w:pPr>
            <w:r w:rsidRPr="00C04C47">
              <w:rPr>
                <w:rFonts w:eastAsiaTheme="minorHAnsi" w:cs="Arial"/>
                <w:color w:val="000000"/>
              </w:rPr>
              <w:t>55,032</w:t>
            </w:r>
          </w:p>
        </w:tc>
      </w:tr>
      <w:tr w:rsidR="000348F2" w:rsidRPr="000348F2" w:rsidTr="003C151C">
        <w:trPr>
          <w:trHeight w:val="300"/>
        </w:trPr>
        <w:tc>
          <w:tcPr>
            <w:tcW w:w="4414" w:type="dxa"/>
            <w:tcBorders>
              <w:top w:val="nil"/>
              <w:left w:val="single" w:sz="4" w:space="0" w:color="auto"/>
              <w:bottom w:val="nil"/>
              <w:right w:val="nil"/>
            </w:tcBorders>
            <w:shd w:val="clear" w:color="auto" w:fill="auto"/>
            <w:noWrap/>
            <w:vAlign w:val="bottom"/>
            <w:hideMark/>
          </w:tcPr>
          <w:p w:rsidR="000348F2" w:rsidRPr="000348F2" w:rsidRDefault="00681CB8" w:rsidP="00681CB8">
            <w:pPr>
              <w:rPr>
                <w:rFonts w:cs="Arial"/>
                <w:b/>
              </w:rPr>
            </w:pPr>
            <w:r>
              <w:rPr>
                <w:rFonts w:cs="Arial"/>
                <w:b/>
              </w:rPr>
              <w:t>PC M</w:t>
            </w:r>
            <w:r w:rsidR="000348F2" w:rsidRPr="000348F2">
              <w:rPr>
                <w:rFonts w:cs="Arial"/>
                <w:b/>
              </w:rPr>
              <w:t>arket Total</w:t>
            </w:r>
          </w:p>
        </w:tc>
        <w:tc>
          <w:tcPr>
            <w:tcW w:w="1426" w:type="dxa"/>
            <w:tcBorders>
              <w:top w:val="nil"/>
              <w:left w:val="nil"/>
              <w:bottom w:val="nil"/>
              <w:right w:val="nil"/>
            </w:tcBorders>
            <w:shd w:val="clear" w:color="auto" w:fill="auto"/>
            <w:noWrap/>
            <w:vAlign w:val="bottom"/>
            <w:hideMark/>
          </w:tcPr>
          <w:p w:rsidR="000348F2" w:rsidRPr="00C04C47" w:rsidRDefault="005F1EEF" w:rsidP="00681CB8">
            <w:pPr>
              <w:autoSpaceDE w:val="0"/>
              <w:autoSpaceDN w:val="0"/>
              <w:jc w:val="right"/>
              <w:rPr>
                <w:rFonts w:eastAsiaTheme="minorHAnsi" w:cs="Arial"/>
                <w:b/>
                <w:color w:val="000000"/>
              </w:rPr>
            </w:pPr>
            <w:r w:rsidRPr="00C04C47">
              <w:rPr>
                <w:rFonts w:eastAsiaTheme="minorHAnsi" w:cs="Arial"/>
                <w:b/>
                <w:color w:val="000000"/>
              </w:rPr>
              <w:t>317,648</w:t>
            </w:r>
          </w:p>
        </w:tc>
        <w:tc>
          <w:tcPr>
            <w:tcW w:w="1900" w:type="dxa"/>
            <w:tcBorders>
              <w:top w:val="nil"/>
              <w:left w:val="nil"/>
              <w:bottom w:val="nil"/>
              <w:right w:val="nil"/>
            </w:tcBorders>
            <w:shd w:val="clear" w:color="auto" w:fill="auto"/>
            <w:noWrap/>
            <w:vAlign w:val="bottom"/>
            <w:hideMark/>
          </w:tcPr>
          <w:p w:rsidR="000348F2" w:rsidRPr="00C04C47" w:rsidRDefault="005F1EEF" w:rsidP="00681CB8">
            <w:pPr>
              <w:autoSpaceDE w:val="0"/>
              <w:autoSpaceDN w:val="0"/>
              <w:jc w:val="right"/>
              <w:rPr>
                <w:rFonts w:eastAsiaTheme="minorHAnsi" w:cs="Arial"/>
                <w:b/>
                <w:color w:val="000000"/>
              </w:rPr>
            </w:pPr>
            <w:r w:rsidRPr="00C04C47">
              <w:rPr>
                <w:rFonts w:eastAsiaTheme="minorHAnsi" w:cs="Arial"/>
                <w:b/>
                <w:color w:val="000000"/>
              </w:rPr>
              <w:t>308,472</w:t>
            </w:r>
          </w:p>
        </w:tc>
        <w:tc>
          <w:tcPr>
            <w:tcW w:w="1900" w:type="dxa"/>
            <w:tcBorders>
              <w:top w:val="nil"/>
              <w:left w:val="nil"/>
              <w:bottom w:val="nil"/>
              <w:right w:val="single" w:sz="4" w:space="0" w:color="auto"/>
            </w:tcBorders>
            <w:shd w:val="clear" w:color="auto" w:fill="auto"/>
            <w:noWrap/>
            <w:vAlign w:val="bottom"/>
            <w:hideMark/>
          </w:tcPr>
          <w:p w:rsidR="000348F2" w:rsidRPr="00C04C47" w:rsidRDefault="005F1EEF" w:rsidP="00681CB8">
            <w:pPr>
              <w:autoSpaceDE w:val="0"/>
              <w:autoSpaceDN w:val="0"/>
              <w:jc w:val="right"/>
              <w:rPr>
                <w:rFonts w:eastAsiaTheme="minorHAnsi" w:cs="Arial"/>
                <w:b/>
                <w:color w:val="000000"/>
              </w:rPr>
            </w:pPr>
            <w:r w:rsidRPr="00C04C47">
              <w:rPr>
                <w:rFonts w:eastAsiaTheme="minorHAnsi" w:cs="Arial"/>
                <w:b/>
                <w:color w:val="000000"/>
              </w:rPr>
              <w:t>316,689</w:t>
            </w:r>
          </w:p>
        </w:tc>
      </w:tr>
      <w:tr w:rsidR="000348F2" w:rsidRPr="000348F2" w:rsidTr="003C151C">
        <w:trPr>
          <w:trHeight w:val="300"/>
        </w:trPr>
        <w:tc>
          <w:tcPr>
            <w:tcW w:w="4414" w:type="dxa"/>
            <w:tcBorders>
              <w:top w:val="nil"/>
              <w:left w:val="single" w:sz="4" w:space="0" w:color="auto"/>
              <w:bottom w:val="nil"/>
              <w:right w:val="nil"/>
            </w:tcBorders>
            <w:shd w:val="clear" w:color="auto" w:fill="auto"/>
            <w:noWrap/>
            <w:vAlign w:val="bottom"/>
            <w:hideMark/>
          </w:tcPr>
          <w:p w:rsidR="000348F2" w:rsidRPr="000348F2" w:rsidRDefault="000348F2" w:rsidP="00681CB8">
            <w:pPr>
              <w:rPr>
                <w:rFonts w:cs="Arial"/>
              </w:rPr>
            </w:pPr>
            <w:r w:rsidRPr="000348F2">
              <w:rPr>
                <w:rFonts w:cs="Arial"/>
              </w:rPr>
              <w:t>Table</w:t>
            </w:r>
            <w:r w:rsidR="00E92839">
              <w:rPr>
                <w:rFonts w:cs="Arial"/>
              </w:rPr>
              <w:t>ts</w:t>
            </w:r>
          </w:p>
        </w:tc>
        <w:tc>
          <w:tcPr>
            <w:tcW w:w="1426" w:type="dxa"/>
            <w:tcBorders>
              <w:top w:val="nil"/>
              <w:left w:val="nil"/>
              <w:bottom w:val="nil"/>
              <w:right w:val="nil"/>
            </w:tcBorders>
            <w:shd w:val="clear" w:color="auto" w:fill="auto"/>
            <w:vAlign w:val="bottom"/>
            <w:hideMark/>
          </w:tcPr>
          <w:p w:rsidR="000348F2" w:rsidRPr="00C04C47" w:rsidRDefault="005F1EEF" w:rsidP="00681CB8">
            <w:pPr>
              <w:autoSpaceDE w:val="0"/>
              <w:autoSpaceDN w:val="0"/>
              <w:jc w:val="right"/>
              <w:rPr>
                <w:rFonts w:eastAsiaTheme="minorHAnsi" w:cs="Arial"/>
                <w:color w:val="000000"/>
              </w:rPr>
            </w:pPr>
            <w:r w:rsidRPr="00C04C47">
              <w:rPr>
                <w:rFonts w:eastAsiaTheme="minorHAnsi" w:cs="Arial"/>
                <w:color w:val="000000"/>
              </w:rPr>
              <w:t>206,8</w:t>
            </w:r>
            <w:r w:rsidR="004E5FC2" w:rsidRPr="00C04C47">
              <w:rPr>
                <w:rFonts w:eastAsiaTheme="minorHAnsi" w:cs="Arial"/>
                <w:color w:val="000000"/>
              </w:rPr>
              <w:t>07</w:t>
            </w:r>
          </w:p>
        </w:tc>
        <w:tc>
          <w:tcPr>
            <w:tcW w:w="1900" w:type="dxa"/>
            <w:tcBorders>
              <w:top w:val="nil"/>
              <w:left w:val="nil"/>
              <w:bottom w:val="nil"/>
              <w:right w:val="nil"/>
            </w:tcBorders>
            <w:shd w:val="clear" w:color="auto" w:fill="auto"/>
            <w:vAlign w:val="bottom"/>
            <w:hideMark/>
          </w:tcPr>
          <w:p w:rsidR="000348F2" w:rsidRPr="00C04C47" w:rsidRDefault="005F1EEF" w:rsidP="00681CB8">
            <w:pPr>
              <w:autoSpaceDE w:val="0"/>
              <w:autoSpaceDN w:val="0"/>
              <w:jc w:val="right"/>
              <w:rPr>
                <w:rFonts w:eastAsiaTheme="minorHAnsi" w:cs="Arial"/>
                <w:color w:val="000000"/>
              </w:rPr>
            </w:pPr>
            <w:r w:rsidRPr="00C04C47">
              <w:rPr>
                <w:rFonts w:eastAsiaTheme="minorHAnsi" w:cs="Arial"/>
                <w:color w:val="000000"/>
              </w:rPr>
              <w:t>256,308</w:t>
            </w:r>
          </w:p>
        </w:tc>
        <w:tc>
          <w:tcPr>
            <w:tcW w:w="1900" w:type="dxa"/>
            <w:tcBorders>
              <w:top w:val="nil"/>
              <w:left w:val="nil"/>
              <w:bottom w:val="nil"/>
              <w:right w:val="single" w:sz="4" w:space="0" w:color="auto"/>
            </w:tcBorders>
            <w:shd w:val="clear" w:color="auto" w:fill="auto"/>
            <w:vAlign w:val="bottom"/>
            <w:hideMark/>
          </w:tcPr>
          <w:p w:rsidR="000348F2" w:rsidRPr="00C04C47" w:rsidRDefault="005F1EEF" w:rsidP="00681CB8">
            <w:pPr>
              <w:autoSpaceDE w:val="0"/>
              <w:autoSpaceDN w:val="0"/>
              <w:jc w:val="right"/>
              <w:rPr>
                <w:rFonts w:eastAsiaTheme="minorHAnsi" w:cs="Arial"/>
                <w:color w:val="000000"/>
              </w:rPr>
            </w:pPr>
            <w:r w:rsidRPr="00C04C47">
              <w:rPr>
                <w:rFonts w:eastAsiaTheme="minorHAnsi" w:cs="Arial"/>
                <w:color w:val="000000"/>
              </w:rPr>
              <w:t>320,964</w:t>
            </w:r>
          </w:p>
        </w:tc>
      </w:tr>
      <w:tr w:rsidR="000348F2" w:rsidRPr="000348F2" w:rsidTr="003C151C">
        <w:trPr>
          <w:trHeight w:val="300"/>
        </w:trPr>
        <w:tc>
          <w:tcPr>
            <w:tcW w:w="4414" w:type="dxa"/>
            <w:tcBorders>
              <w:top w:val="nil"/>
              <w:left w:val="single" w:sz="4" w:space="0" w:color="auto"/>
              <w:bottom w:val="nil"/>
              <w:right w:val="nil"/>
            </w:tcBorders>
            <w:shd w:val="clear" w:color="auto" w:fill="auto"/>
            <w:noWrap/>
            <w:vAlign w:val="bottom"/>
            <w:hideMark/>
          </w:tcPr>
          <w:p w:rsidR="000348F2" w:rsidRPr="000348F2" w:rsidRDefault="000348F2" w:rsidP="00681CB8">
            <w:pPr>
              <w:rPr>
                <w:rFonts w:cs="Arial"/>
              </w:rPr>
            </w:pPr>
            <w:r w:rsidRPr="000348F2">
              <w:rPr>
                <w:rFonts w:cs="Arial"/>
              </w:rPr>
              <w:t>Mobile Phones</w:t>
            </w:r>
          </w:p>
        </w:tc>
        <w:tc>
          <w:tcPr>
            <w:tcW w:w="1426" w:type="dxa"/>
            <w:tcBorders>
              <w:top w:val="nil"/>
              <w:left w:val="nil"/>
              <w:bottom w:val="nil"/>
              <w:right w:val="nil"/>
            </w:tcBorders>
            <w:shd w:val="clear" w:color="auto" w:fill="auto"/>
            <w:vAlign w:val="bottom"/>
            <w:hideMark/>
          </w:tcPr>
          <w:p w:rsidR="000348F2" w:rsidRPr="00C04C47" w:rsidRDefault="000348F2" w:rsidP="00681CB8">
            <w:pPr>
              <w:autoSpaceDE w:val="0"/>
              <w:autoSpaceDN w:val="0"/>
              <w:jc w:val="right"/>
              <w:rPr>
                <w:rFonts w:eastAsiaTheme="minorHAnsi" w:cs="Arial"/>
                <w:color w:val="000000"/>
              </w:rPr>
            </w:pPr>
            <w:r w:rsidRPr="00C04C47">
              <w:rPr>
                <w:rFonts w:eastAsiaTheme="minorHAnsi" w:cs="Arial"/>
                <w:color w:val="000000"/>
              </w:rPr>
              <w:t>1,806,964</w:t>
            </w:r>
          </w:p>
        </w:tc>
        <w:tc>
          <w:tcPr>
            <w:tcW w:w="1900" w:type="dxa"/>
            <w:tcBorders>
              <w:top w:val="nil"/>
              <w:left w:val="nil"/>
              <w:bottom w:val="nil"/>
              <w:right w:val="nil"/>
            </w:tcBorders>
            <w:shd w:val="clear" w:color="auto" w:fill="auto"/>
            <w:vAlign w:val="bottom"/>
            <w:hideMark/>
          </w:tcPr>
          <w:p w:rsidR="000348F2" w:rsidRPr="00C04C47" w:rsidRDefault="000348F2" w:rsidP="00681CB8">
            <w:pPr>
              <w:autoSpaceDE w:val="0"/>
              <w:autoSpaceDN w:val="0"/>
              <w:jc w:val="right"/>
              <w:rPr>
                <w:rFonts w:eastAsiaTheme="minorHAnsi" w:cs="Arial"/>
                <w:color w:val="000000"/>
              </w:rPr>
            </w:pPr>
            <w:r w:rsidRPr="00C04C47">
              <w:rPr>
                <w:rFonts w:eastAsiaTheme="minorHAnsi" w:cs="Arial"/>
                <w:color w:val="000000"/>
              </w:rPr>
              <w:t>1,862,766</w:t>
            </w:r>
          </w:p>
        </w:tc>
        <w:tc>
          <w:tcPr>
            <w:tcW w:w="1900" w:type="dxa"/>
            <w:tcBorders>
              <w:top w:val="nil"/>
              <w:left w:val="nil"/>
              <w:bottom w:val="nil"/>
              <w:right w:val="single" w:sz="4" w:space="0" w:color="auto"/>
            </w:tcBorders>
            <w:shd w:val="clear" w:color="auto" w:fill="auto"/>
            <w:vAlign w:val="bottom"/>
            <w:hideMark/>
          </w:tcPr>
          <w:p w:rsidR="000348F2" w:rsidRPr="00C04C47" w:rsidRDefault="000348F2" w:rsidP="00681CB8">
            <w:pPr>
              <w:autoSpaceDE w:val="0"/>
              <w:autoSpaceDN w:val="0"/>
              <w:jc w:val="right"/>
              <w:rPr>
                <w:rFonts w:eastAsiaTheme="minorHAnsi" w:cs="Arial"/>
                <w:color w:val="000000"/>
              </w:rPr>
            </w:pPr>
            <w:r w:rsidRPr="00C04C47">
              <w:rPr>
                <w:rFonts w:eastAsiaTheme="minorHAnsi" w:cs="Arial"/>
                <w:color w:val="000000"/>
              </w:rPr>
              <w:t>1,946,456</w:t>
            </w:r>
          </w:p>
        </w:tc>
      </w:tr>
      <w:tr w:rsidR="000348F2" w:rsidRPr="000348F2" w:rsidTr="003C151C">
        <w:trPr>
          <w:trHeight w:val="300"/>
        </w:trPr>
        <w:tc>
          <w:tcPr>
            <w:tcW w:w="4414" w:type="dxa"/>
            <w:tcBorders>
              <w:top w:val="nil"/>
              <w:left w:val="single" w:sz="4" w:space="0" w:color="auto"/>
              <w:bottom w:val="nil"/>
              <w:right w:val="nil"/>
            </w:tcBorders>
            <w:shd w:val="clear" w:color="auto" w:fill="auto"/>
            <w:noWrap/>
            <w:vAlign w:val="bottom"/>
            <w:hideMark/>
          </w:tcPr>
          <w:p w:rsidR="000348F2" w:rsidRPr="000348F2" w:rsidRDefault="000348F2" w:rsidP="00DA6DD5">
            <w:pPr>
              <w:rPr>
                <w:rFonts w:cs="Arial"/>
              </w:rPr>
            </w:pPr>
            <w:r w:rsidRPr="000348F2">
              <w:rPr>
                <w:rFonts w:cs="Arial"/>
              </w:rPr>
              <w:t>Other Ultramobiles (</w:t>
            </w:r>
            <w:r w:rsidR="00DA6DD5">
              <w:rPr>
                <w:rFonts w:cs="Arial"/>
              </w:rPr>
              <w:t>H</w:t>
            </w:r>
            <w:r w:rsidRPr="000348F2">
              <w:rPr>
                <w:rFonts w:cs="Arial"/>
              </w:rPr>
              <w:t>ybrid and Clamshell)</w:t>
            </w:r>
          </w:p>
        </w:tc>
        <w:tc>
          <w:tcPr>
            <w:tcW w:w="1426" w:type="dxa"/>
            <w:tcBorders>
              <w:top w:val="nil"/>
              <w:left w:val="nil"/>
              <w:bottom w:val="nil"/>
              <w:right w:val="nil"/>
            </w:tcBorders>
            <w:shd w:val="clear" w:color="auto" w:fill="auto"/>
            <w:vAlign w:val="bottom"/>
            <w:hideMark/>
          </w:tcPr>
          <w:p w:rsidR="000348F2" w:rsidRPr="00C04C47" w:rsidRDefault="000348F2" w:rsidP="00681CB8">
            <w:pPr>
              <w:autoSpaceDE w:val="0"/>
              <w:autoSpaceDN w:val="0"/>
              <w:jc w:val="right"/>
              <w:rPr>
                <w:rFonts w:eastAsiaTheme="minorHAnsi" w:cs="Arial"/>
                <w:color w:val="000000"/>
              </w:rPr>
            </w:pPr>
            <w:r w:rsidRPr="00C04C47">
              <w:rPr>
                <w:rFonts w:eastAsiaTheme="minorHAnsi" w:cs="Arial"/>
                <w:color w:val="000000"/>
              </w:rPr>
              <w:t>2,981</w:t>
            </w:r>
          </w:p>
        </w:tc>
        <w:tc>
          <w:tcPr>
            <w:tcW w:w="1900" w:type="dxa"/>
            <w:tcBorders>
              <w:top w:val="nil"/>
              <w:left w:val="nil"/>
              <w:bottom w:val="nil"/>
              <w:right w:val="nil"/>
            </w:tcBorders>
            <w:shd w:val="clear" w:color="auto" w:fill="auto"/>
            <w:vAlign w:val="bottom"/>
            <w:hideMark/>
          </w:tcPr>
          <w:p w:rsidR="000348F2" w:rsidRPr="00C04C47" w:rsidRDefault="000348F2" w:rsidP="00681CB8">
            <w:pPr>
              <w:autoSpaceDE w:val="0"/>
              <w:autoSpaceDN w:val="0"/>
              <w:jc w:val="right"/>
              <w:rPr>
                <w:rFonts w:eastAsiaTheme="minorHAnsi" w:cs="Arial"/>
                <w:color w:val="000000"/>
              </w:rPr>
            </w:pPr>
            <w:r w:rsidRPr="00C04C47">
              <w:rPr>
                <w:rFonts w:eastAsiaTheme="minorHAnsi" w:cs="Arial"/>
                <w:color w:val="000000"/>
              </w:rPr>
              <w:t>5,381</w:t>
            </w:r>
          </w:p>
        </w:tc>
        <w:tc>
          <w:tcPr>
            <w:tcW w:w="1900" w:type="dxa"/>
            <w:tcBorders>
              <w:top w:val="nil"/>
              <w:left w:val="nil"/>
              <w:bottom w:val="nil"/>
              <w:right w:val="single" w:sz="4" w:space="0" w:color="auto"/>
            </w:tcBorders>
            <w:shd w:val="clear" w:color="auto" w:fill="auto"/>
            <w:vAlign w:val="bottom"/>
            <w:hideMark/>
          </w:tcPr>
          <w:p w:rsidR="000348F2" w:rsidRPr="00C04C47" w:rsidRDefault="000348F2" w:rsidP="00681CB8">
            <w:pPr>
              <w:autoSpaceDE w:val="0"/>
              <w:autoSpaceDN w:val="0"/>
              <w:jc w:val="right"/>
              <w:rPr>
                <w:rFonts w:eastAsiaTheme="minorHAnsi" w:cs="Arial"/>
                <w:color w:val="000000"/>
              </w:rPr>
            </w:pPr>
            <w:r w:rsidRPr="00C04C47">
              <w:rPr>
                <w:rFonts w:eastAsiaTheme="minorHAnsi" w:cs="Arial"/>
                <w:color w:val="000000"/>
              </w:rPr>
              <w:t>7,645</w:t>
            </w:r>
          </w:p>
        </w:tc>
      </w:tr>
      <w:tr w:rsidR="000348F2" w:rsidRPr="000348F2" w:rsidTr="003C151C">
        <w:trPr>
          <w:trHeight w:val="300"/>
        </w:trPr>
        <w:tc>
          <w:tcPr>
            <w:tcW w:w="4414" w:type="dxa"/>
            <w:tcBorders>
              <w:top w:val="nil"/>
              <w:left w:val="single" w:sz="4" w:space="0" w:color="auto"/>
              <w:bottom w:val="single" w:sz="4" w:space="0" w:color="auto"/>
              <w:right w:val="nil"/>
            </w:tcBorders>
            <w:shd w:val="clear" w:color="auto" w:fill="auto"/>
            <w:noWrap/>
            <w:vAlign w:val="bottom"/>
            <w:hideMark/>
          </w:tcPr>
          <w:p w:rsidR="000348F2" w:rsidRPr="000348F2" w:rsidRDefault="000348F2" w:rsidP="00681CB8">
            <w:pPr>
              <w:rPr>
                <w:rFonts w:cs="Arial"/>
                <w:b/>
              </w:rPr>
            </w:pPr>
            <w:r w:rsidRPr="000348F2">
              <w:rPr>
                <w:rFonts w:cs="Arial"/>
                <w:b/>
              </w:rPr>
              <w:t>Total</w:t>
            </w:r>
          </w:p>
        </w:tc>
        <w:tc>
          <w:tcPr>
            <w:tcW w:w="1426" w:type="dxa"/>
            <w:tcBorders>
              <w:top w:val="nil"/>
              <w:left w:val="nil"/>
              <w:bottom w:val="single" w:sz="4" w:space="0" w:color="auto"/>
              <w:right w:val="nil"/>
            </w:tcBorders>
            <w:shd w:val="clear" w:color="auto" w:fill="auto"/>
            <w:vAlign w:val="bottom"/>
            <w:hideMark/>
          </w:tcPr>
          <w:p w:rsidR="000348F2" w:rsidRPr="00C04C47" w:rsidRDefault="000348F2" w:rsidP="00681CB8">
            <w:pPr>
              <w:autoSpaceDE w:val="0"/>
              <w:autoSpaceDN w:val="0"/>
              <w:jc w:val="right"/>
              <w:rPr>
                <w:rFonts w:eastAsiaTheme="minorHAnsi" w:cs="Arial"/>
                <w:b/>
                <w:color w:val="000000"/>
              </w:rPr>
            </w:pPr>
            <w:r w:rsidRPr="00C04C47">
              <w:rPr>
                <w:rFonts w:eastAsiaTheme="minorHAnsi" w:cs="Arial"/>
                <w:b/>
                <w:color w:val="000000"/>
              </w:rPr>
              <w:t>2,334,400</w:t>
            </w:r>
          </w:p>
        </w:tc>
        <w:tc>
          <w:tcPr>
            <w:tcW w:w="1900" w:type="dxa"/>
            <w:tcBorders>
              <w:top w:val="nil"/>
              <w:left w:val="nil"/>
              <w:bottom w:val="single" w:sz="4" w:space="0" w:color="auto"/>
              <w:right w:val="nil"/>
            </w:tcBorders>
            <w:shd w:val="clear" w:color="auto" w:fill="auto"/>
            <w:vAlign w:val="bottom"/>
            <w:hideMark/>
          </w:tcPr>
          <w:p w:rsidR="000348F2" w:rsidRPr="00C04C47" w:rsidRDefault="000348F2" w:rsidP="00681CB8">
            <w:pPr>
              <w:autoSpaceDE w:val="0"/>
              <w:autoSpaceDN w:val="0"/>
              <w:jc w:val="right"/>
              <w:rPr>
                <w:rFonts w:eastAsiaTheme="minorHAnsi" w:cs="Arial"/>
                <w:b/>
                <w:color w:val="000000"/>
              </w:rPr>
            </w:pPr>
            <w:r w:rsidRPr="00C04C47">
              <w:rPr>
                <w:rFonts w:eastAsiaTheme="minorHAnsi" w:cs="Arial"/>
                <w:b/>
                <w:color w:val="000000"/>
              </w:rPr>
              <w:t>2,432,927</w:t>
            </w:r>
          </w:p>
        </w:tc>
        <w:tc>
          <w:tcPr>
            <w:tcW w:w="1900" w:type="dxa"/>
            <w:tcBorders>
              <w:top w:val="nil"/>
              <w:left w:val="nil"/>
              <w:bottom w:val="single" w:sz="4" w:space="0" w:color="auto"/>
              <w:right w:val="single" w:sz="4" w:space="0" w:color="auto"/>
            </w:tcBorders>
            <w:shd w:val="clear" w:color="auto" w:fill="auto"/>
            <w:vAlign w:val="bottom"/>
            <w:hideMark/>
          </w:tcPr>
          <w:p w:rsidR="000348F2" w:rsidRPr="00C04C47" w:rsidRDefault="000348F2" w:rsidP="00681CB8">
            <w:pPr>
              <w:autoSpaceDE w:val="0"/>
              <w:autoSpaceDN w:val="0"/>
              <w:jc w:val="right"/>
              <w:rPr>
                <w:rFonts w:eastAsiaTheme="minorHAnsi" w:cs="Arial"/>
                <w:b/>
                <w:color w:val="000000"/>
              </w:rPr>
            </w:pPr>
            <w:r w:rsidRPr="00C04C47">
              <w:rPr>
                <w:rFonts w:eastAsiaTheme="minorHAnsi" w:cs="Arial"/>
                <w:b/>
                <w:color w:val="000000"/>
              </w:rPr>
              <w:t>2,591,753</w:t>
            </w:r>
          </w:p>
        </w:tc>
      </w:tr>
    </w:tbl>
    <w:p w:rsidR="00350E7A" w:rsidRPr="001B6BF8" w:rsidRDefault="00350E7A" w:rsidP="00350E7A">
      <w:pPr>
        <w:pStyle w:val="Title"/>
        <w:jc w:val="left"/>
        <w:rPr>
          <w:rFonts w:ascii="Arial" w:hAnsi="Arial" w:cs="Arial"/>
          <w:b w:val="0"/>
          <w:sz w:val="16"/>
          <w:szCs w:val="16"/>
        </w:rPr>
      </w:pPr>
      <w:r w:rsidRPr="001B6BF8">
        <w:rPr>
          <w:rFonts w:ascii="Arial" w:hAnsi="Arial" w:cs="Arial"/>
          <w:b w:val="0"/>
          <w:sz w:val="16"/>
          <w:szCs w:val="16"/>
        </w:rPr>
        <w:t>Source: Gartner (</w:t>
      </w:r>
      <w:r>
        <w:rPr>
          <w:rFonts w:ascii="Arial" w:hAnsi="Arial" w:cs="Arial"/>
          <w:b w:val="0"/>
          <w:sz w:val="16"/>
          <w:szCs w:val="16"/>
        </w:rPr>
        <w:t>June 2014</w:t>
      </w:r>
      <w:r w:rsidRPr="001B6BF8">
        <w:rPr>
          <w:rFonts w:ascii="Arial" w:hAnsi="Arial" w:cs="Arial"/>
          <w:b w:val="0"/>
          <w:sz w:val="16"/>
          <w:szCs w:val="16"/>
        </w:rPr>
        <w:t>)</w:t>
      </w:r>
    </w:p>
    <w:p w:rsidR="00350E7A" w:rsidRDefault="00350E7A" w:rsidP="00A05E23">
      <w:pPr>
        <w:rPr>
          <w:rFonts w:cs="Arial"/>
          <w:sz w:val="22"/>
          <w:szCs w:val="22"/>
        </w:rPr>
      </w:pPr>
    </w:p>
    <w:p w:rsidR="00F3212B" w:rsidRPr="005E44D6" w:rsidRDefault="0069470C" w:rsidP="000348F2">
      <w:pPr>
        <w:jc w:val="left"/>
        <w:rPr>
          <w:rFonts w:cs="Arial"/>
          <w:sz w:val="22"/>
          <w:szCs w:val="22"/>
        </w:rPr>
      </w:pPr>
      <w:r>
        <w:rPr>
          <w:rFonts w:cs="Arial"/>
          <w:sz w:val="22"/>
          <w:szCs w:val="22"/>
        </w:rPr>
        <w:t>As</w:t>
      </w:r>
      <w:r w:rsidR="00DA56EC">
        <w:rPr>
          <w:rFonts w:cs="Arial"/>
          <w:sz w:val="22"/>
          <w:szCs w:val="22"/>
        </w:rPr>
        <w:t xml:space="preserve"> with any devices</w:t>
      </w:r>
      <w:r w:rsidR="00DA56EC" w:rsidRPr="00F3212B">
        <w:rPr>
          <w:color w:val="000000" w:themeColor="text1"/>
          <w:sz w:val="22"/>
          <w:szCs w:val="22"/>
        </w:rPr>
        <w:t>, adoption goes through phases from the early to the late adopter</w:t>
      </w:r>
      <w:r w:rsidR="00DA6DD5">
        <w:rPr>
          <w:color w:val="000000" w:themeColor="text1"/>
          <w:sz w:val="22"/>
          <w:szCs w:val="22"/>
        </w:rPr>
        <w:t>; t</w:t>
      </w:r>
      <w:r w:rsidR="00DA56EC" w:rsidRPr="00F3212B">
        <w:rPr>
          <w:color w:val="000000" w:themeColor="text1"/>
          <w:sz w:val="22"/>
          <w:szCs w:val="22"/>
        </w:rPr>
        <w:t xml:space="preserve">ablets are </w:t>
      </w:r>
      <w:r w:rsidR="00DA56EC">
        <w:rPr>
          <w:color w:val="000000" w:themeColor="text1"/>
          <w:sz w:val="22"/>
          <w:szCs w:val="22"/>
        </w:rPr>
        <w:t xml:space="preserve">currently </w:t>
      </w:r>
      <w:r w:rsidR="00DA56EC" w:rsidRPr="00F3212B">
        <w:rPr>
          <w:color w:val="000000" w:themeColor="text1"/>
          <w:sz w:val="22"/>
          <w:szCs w:val="22"/>
        </w:rPr>
        <w:t xml:space="preserve">moving onto the </w:t>
      </w:r>
      <w:r w:rsidR="00DA56EC" w:rsidRPr="008402B6">
        <w:rPr>
          <w:color w:val="000000" w:themeColor="text1"/>
          <w:sz w:val="22"/>
          <w:szCs w:val="22"/>
        </w:rPr>
        <w:t>latter part of that curve</w:t>
      </w:r>
      <w:r w:rsidR="005E44D6" w:rsidRPr="008402B6">
        <w:rPr>
          <w:color w:val="000000" w:themeColor="text1"/>
          <w:sz w:val="22"/>
          <w:szCs w:val="22"/>
        </w:rPr>
        <w:t xml:space="preserve"> in mature markets</w:t>
      </w:r>
      <w:r w:rsidR="00E176E0" w:rsidRPr="008402B6">
        <w:rPr>
          <w:color w:val="000000" w:themeColor="text1"/>
          <w:sz w:val="22"/>
          <w:szCs w:val="22"/>
        </w:rPr>
        <w:t xml:space="preserve">. </w:t>
      </w:r>
      <w:r w:rsidR="00DA56EC" w:rsidRPr="008402B6">
        <w:rPr>
          <w:color w:val="000000" w:themeColor="text1"/>
          <w:sz w:val="22"/>
          <w:szCs w:val="22"/>
        </w:rPr>
        <w:t>Gartner estimat</w:t>
      </w:r>
      <w:r w:rsidR="00E176E0" w:rsidRPr="008402B6">
        <w:rPr>
          <w:color w:val="000000" w:themeColor="text1"/>
          <w:sz w:val="22"/>
          <w:szCs w:val="22"/>
        </w:rPr>
        <w:t>es</w:t>
      </w:r>
      <w:r w:rsidR="002517EE" w:rsidRPr="008402B6">
        <w:rPr>
          <w:color w:val="000000" w:themeColor="text1"/>
          <w:sz w:val="22"/>
          <w:szCs w:val="22"/>
        </w:rPr>
        <w:t xml:space="preserve"> that</w:t>
      </w:r>
      <w:r w:rsidR="00E176E0" w:rsidRPr="008402B6">
        <w:rPr>
          <w:color w:val="000000" w:themeColor="text1"/>
          <w:sz w:val="22"/>
          <w:szCs w:val="22"/>
        </w:rPr>
        <w:t xml:space="preserve"> sales of tablets </w:t>
      </w:r>
      <w:r w:rsidR="002517EE" w:rsidRPr="008402B6">
        <w:rPr>
          <w:color w:val="000000" w:themeColor="text1"/>
          <w:sz w:val="22"/>
          <w:szCs w:val="22"/>
        </w:rPr>
        <w:t>will</w:t>
      </w:r>
      <w:r w:rsidR="00E176E0" w:rsidRPr="008402B6">
        <w:rPr>
          <w:color w:val="000000" w:themeColor="text1"/>
          <w:sz w:val="22"/>
          <w:szCs w:val="22"/>
        </w:rPr>
        <w:t xml:space="preserve"> </w:t>
      </w:r>
      <w:r w:rsidR="005D78FC">
        <w:rPr>
          <w:color w:val="000000" w:themeColor="text1"/>
          <w:sz w:val="22"/>
          <w:szCs w:val="22"/>
        </w:rPr>
        <w:t xml:space="preserve">see a relative </w:t>
      </w:r>
      <w:r w:rsidR="00FA7F3F" w:rsidRPr="008402B6">
        <w:rPr>
          <w:rFonts w:cs="Arial"/>
          <w:sz w:val="22"/>
          <w:szCs w:val="22"/>
        </w:rPr>
        <w:t xml:space="preserve">slowdown in 2014 to reach </w:t>
      </w:r>
      <w:r w:rsidR="008402B6" w:rsidRPr="008402B6">
        <w:rPr>
          <w:rFonts w:cs="Arial"/>
          <w:sz w:val="22"/>
          <w:szCs w:val="22"/>
        </w:rPr>
        <w:t>2</w:t>
      </w:r>
      <w:r w:rsidR="00E92839">
        <w:rPr>
          <w:rFonts w:cs="Arial"/>
          <w:sz w:val="22"/>
          <w:szCs w:val="22"/>
        </w:rPr>
        <w:t>56</w:t>
      </w:r>
      <w:r w:rsidR="00FA7F3F" w:rsidRPr="008402B6">
        <w:rPr>
          <w:rFonts w:cs="Arial"/>
          <w:sz w:val="22"/>
          <w:szCs w:val="22"/>
        </w:rPr>
        <w:t xml:space="preserve"> million units, an inc</w:t>
      </w:r>
      <w:r w:rsidR="00E176E0" w:rsidRPr="008402B6">
        <w:rPr>
          <w:rFonts w:cs="Arial"/>
          <w:sz w:val="22"/>
          <w:szCs w:val="22"/>
        </w:rPr>
        <w:t xml:space="preserve">rease </w:t>
      </w:r>
      <w:r w:rsidR="00E176E0" w:rsidRPr="00C04C47">
        <w:rPr>
          <w:rFonts w:cs="Arial"/>
          <w:sz w:val="22"/>
          <w:szCs w:val="22"/>
        </w:rPr>
        <w:t xml:space="preserve">of </w:t>
      </w:r>
      <w:r w:rsidR="005F1EEF" w:rsidRPr="00C04C47">
        <w:rPr>
          <w:rFonts w:cs="Arial"/>
          <w:sz w:val="22"/>
          <w:szCs w:val="22"/>
        </w:rPr>
        <w:t>23.9</w:t>
      </w:r>
      <w:r w:rsidR="00E176E0" w:rsidRPr="00C04C47">
        <w:rPr>
          <w:rFonts w:cs="Arial"/>
          <w:sz w:val="22"/>
          <w:szCs w:val="22"/>
        </w:rPr>
        <w:t xml:space="preserve"> per</w:t>
      </w:r>
      <w:r w:rsidR="00E176E0" w:rsidRPr="008402B6">
        <w:rPr>
          <w:rFonts w:cs="Arial"/>
          <w:sz w:val="22"/>
          <w:szCs w:val="22"/>
        </w:rPr>
        <w:t xml:space="preserve"> cent from 2013. </w:t>
      </w:r>
      <w:r w:rsidR="005E44D6" w:rsidRPr="008402B6">
        <w:rPr>
          <w:rFonts w:cs="Arial"/>
          <w:sz w:val="22"/>
          <w:szCs w:val="22"/>
        </w:rPr>
        <w:t>Lower</w:t>
      </w:r>
      <w:r w:rsidR="005E44D6">
        <w:rPr>
          <w:rFonts w:cs="Arial"/>
          <w:sz w:val="22"/>
          <w:szCs w:val="22"/>
        </w:rPr>
        <w:t xml:space="preserve"> demand from users for </w:t>
      </w:r>
      <w:r>
        <w:rPr>
          <w:rFonts w:cs="Arial"/>
          <w:sz w:val="22"/>
          <w:szCs w:val="22"/>
        </w:rPr>
        <w:t xml:space="preserve">tablets with </w:t>
      </w:r>
      <w:r w:rsidR="00F47746">
        <w:rPr>
          <w:rFonts w:cs="Arial"/>
          <w:sz w:val="22"/>
          <w:szCs w:val="22"/>
        </w:rPr>
        <w:t>smaller screen</w:t>
      </w:r>
      <w:r>
        <w:rPr>
          <w:rFonts w:cs="Arial"/>
          <w:sz w:val="22"/>
          <w:szCs w:val="22"/>
        </w:rPr>
        <w:t>s</w:t>
      </w:r>
      <w:r w:rsidR="00F47746">
        <w:rPr>
          <w:rFonts w:cs="Arial"/>
          <w:sz w:val="22"/>
          <w:szCs w:val="22"/>
        </w:rPr>
        <w:t>,</w:t>
      </w:r>
      <w:r w:rsidR="00CE4257">
        <w:rPr>
          <w:rFonts w:cs="Arial"/>
          <w:sz w:val="22"/>
          <w:szCs w:val="22"/>
        </w:rPr>
        <w:t xml:space="preserve"> some</w:t>
      </w:r>
      <w:r w:rsidR="00F47746">
        <w:rPr>
          <w:rFonts w:cs="Arial"/>
          <w:sz w:val="22"/>
          <w:szCs w:val="22"/>
        </w:rPr>
        <w:t xml:space="preserve"> </w:t>
      </w:r>
      <w:r w:rsidR="005E44D6">
        <w:rPr>
          <w:rFonts w:cs="Arial"/>
          <w:sz w:val="22"/>
          <w:szCs w:val="22"/>
        </w:rPr>
        <w:t xml:space="preserve">in </w:t>
      </w:r>
      <w:proofErr w:type="spellStart"/>
      <w:r w:rsidR="00D26F6C">
        <w:rPr>
          <w:rFonts w:cs="Arial"/>
          <w:sz w:val="22"/>
          <w:szCs w:val="22"/>
        </w:rPr>
        <w:t>favour</w:t>
      </w:r>
      <w:proofErr w:type="spellEnd"/>
      <w:r w:rsidR="00D26F6C">
        <w:rPr>
          <w:rFonts w:cs="Arial"/>
          <w:sz w:val="22"/>
          <w:szCs w:val="22"/>
        </w:rPr>
        <w:t xml:space="preserve"> of larger screens</w:t>
      </w:r>
      <w:r w:rsidR="00DA6DD5">
        <w:rPr>
          <w:rFonts w:cs="Arial"/>
          <w:sz w:val="22"/>
          <w:szCs w:val="22"/>
        </w:rPr>
        <w:t>,</w:t>
      </w:r>
      <w:r w:rsidR="00D26F6C">
        <w:rPr>
          <w:rFonts w:cs="Arial"/>
          <w:sz w:val="22"/>
          <w:szCs w:val="22"/>
        </w:rPr>
        <w:t xml:space="preserve"> </w:t>
      </w:r>
      <w:r w:rsidR="00F47746">
        <w:rPr>
          <w:rFonts w:cs="Arial"/>
          <w:sz w:val="22"/>
          <w:szCs w:val="22"/>
        </w:rPr>
        <w:t xml:space="preserve">in </w:t>
      </w:r>
      <w:r w:rsidR="005E44D6">
        <w:rPr>
          <w:rFonts w:cs="Arial"/>
          <w:sz w:val="22"/>
          <w:szCs w:val="22"/>
        </w:rPr>
        <w:t>mature markets</w:t>
      </w:r>
      <w:r w:rsidR="00E176E0">
        <w:rPr>
          <w:rFonts w:cs="Arial"/>
          <w:sz w:val="22"/>
          <w:szCs w:val="22"/>
        </w:rPr>
        <w:t>,</w:t>
      </w:r>
      <w:r w:rsidR="00BA4375">
        <w:rPr>
          <w:rFonts w:cs="Arial"/>
          <w:sz w:val="22"/>
          <w:szCs w:val="22"/>
        </w:rPr>
        <w:t xml:space="preserve"> and the shift towards </w:t>
      </w:r>
      <w:proofErr w:type="spellStart"/>
      <w:r w:rsidR="00C06220">
        <w:rPr>
          <w:rFonts w:cs="Arial"/>
          <w:sz w:val="22"/>
          <w:szCs w:val="22"/>
        </w:rPr>
        <w:t>p</w:t>
      </w:r>
      <w:r w:rsidR="004E665C">
        <w:rPr>
          <w:rFonts w:cs="Arial"/>
          <w:sz w:val="22"/>
          <w:szCs w:val="22"/>
        </w:rPr>
        <w:t>hablets</w:t>
      </w:r>
      <w:proofErr w:type="spellEnd"/>
      <w:r w:rsidR="004E665C">
        <w:rPr>
          <w:rFonts w:cs="Arial"/>
          <w:sz w:val="22"/>
          <w:szCs w:val="22"/>
        </w:rPr>
        <w:t xml:space="preserve"> in South-East Asia are</w:t>
      </w:r>
      <w:r w:rsidR="00BA4375">
        <w:rPr>
          <w:rFonts w:cs="Arial"/>
          <w:sz w:val="22"/>
          <w:szCs w:val="22"/>
        </w:rPr>
        <w:t xml:space="preserve"> </w:t>
      </w:r>
      <w:r w:rsidR="00F3212B">
        <w:rPr>
          <w:rFonts w:cs="Arial"/>
          <w:sz w:val="22"/>
          <w:szCs w:val="22"/>
        </w:rPr>
        <w:t>slowing global tablet penetration.</w:t>
      </w:r>
      <w:r w:rsidR="00E176E0">
        <w:rPr>
          <w:rFonts w:cs="Arial"/>
          <w:sz w:val="22"/>
          <w:szCs w:val="22"/>
        </w:rPr>
        <w:t xml:space="preserve"> </w:t>
      </w:r>
      <w:r>
        <w:rPr>
          <w:rFonts w:cs="Arial"/>
          <w:sz w:val="22"/>
          <w:szCs w:val="22"/>
        </w:rPr>
        <w:t>"</w:t>
      </w:r>
      <w:r w:rsidR="00E176E0">
        <w:rPr>
          <w:rFonts w:cs="Arial"/>
          <w:sz w:val="22"/>
          <w:szCs w:val="22"/>
        </w:rPr>
        <w:t xml:space="preserve">The </w:t>
      </w:r>
      <w:r w:rsidR="00F3212B" w:rsidRPr="00F3212B">
        <w:rPr>
          <w:color w:val="000000" w:themeColor="text1"/>
          <w:sz w:val="22"/>
          <w:szCs w:val="22"/>
        </w:rPr>
        <w:t>next wave of adoption will be driven by lower price points rat</w:t>
      </w:r>
      <w:r w:rsidR="005E44D6">
        <w:rPr>
          <w:color w:val="000000" w:themeColor="text1"/>
          <w:sz w:val="22"/>
          <w:szCs w:val="22"/>
        </w:rPr>
        <w:t>her than superior</w:t>
      </w:r>
      <w:r w:rsidR="00E176E0">
        <w:rPr>
          <w:color w:val="000000" w:themeColor="text1"/>
          <w:sz w:val="22"/>
          <w:szCs w:val="22"/>
        </w:rPr>
        <w:t xml:space="preserve"> functionality,</w:t>
      </w:r>
      <w:r>
        <w:rPr>
          <w:color w:val="000000" w:themeColor="text1"/>
          <w:sz w:val="22"/>
          <w:szCs w:val="22"/>
        </w:rPr>
        <w:t>"</w:t>
      </w:r>
      <w:r w:rsidR="00E176E0">
        <w:rPr>
          <w:color w:val="000000" w:themeColor="text1"/>
          <w:sz w:val="22"/>
          <w:szCs w:val="22"/>
        </w:rPr>
        <w:t xml:space="preserve"> said </w:t>
      </w:r>
      <w:proofErr w:type="spellStart"/>
      <w:r w:rsidR="00E176E0">
        <w:rPr>
          <w:color w:val="000000" w:themeColor="text1"/>
          <w:sz w:val="22"/>
          <w:szCs w:val="22"/>
        </w:rPr>
        <w:t>Mr</w:t>
      </w:r>
      <w:proofErr w:type="spellEnd"/>
      <w:r w:rsidR="00E176E0">
        <w:rPr>
          <w:color w:val="000000" w:themeColor="text1"/>
          <w:sz w:val="22"/>
          <w:szCs w:val="22"/>
        </w:rPr>
        <w:t xml:space="preserve"> Atwal.</w:t>
      </w:r>
    </w:p>
    <w:p w:rsidR="0050021F" w:rsidRDefault="0050021F" w:rsidP="00A05E23">
      <w:pPr>
        <w:rPr>
          <w:rFonts w:cs="Arial"/>
          <w:sz w:val="22"/>
          <w:szCs w:val="22"/>
        </w:rPr>
      </w:pPr>
    </w:p>
    <w:p w:rsidR="0050021F" w:rsidRPr="0069470C" w:rsidRDefault="0050021F" w:rsidP="00FE0F4D">
      <w:pPr>
        <w:jc w:val="left"/>
        <w:rPr>
          <w:i/>
        </w:rPr>
      </w:pPr>
      <w:r w:rsidRPr="0050021F">
        <w:rPr>
          <w:rFonts w:cs="Arial"/>
          <w:sz w:val="22"/>
          <w:szCs w:val="22"/>
        </w:rPr>
        <w:t xml:space="preserve">Sales of mobile phones are expected to reach </w:t>
      </w:r>
      <w:r>
        <w:rPr>
          <w:rFonts w:cs="Arial"/>
          <w:sz w:val="22"/>
          <w:szCs w:val="22"/>
        </w:rPr>
        <w:t>1.9</w:t>
      </w:r>
      <w:r w:rsidRPr="0050021F">
        <w:rPr>
          <w:rFonts w:cs="Arial"/>
          <w:sz w:val="22"/>
          <w:szCs w:val="22"/>
        </w:rPr>
        <w:t xml:space="preserve"> billion units in 2014, a 3.1 per cent increase from 2013. Sales of smartphones</w:t>
      </w:r>
      <w:r w:rsidR="0069470C">
        <w:rPr>
          <w:rFonts w:cs="Arial"/>
          <w:sz w:val="22"/>
          <w:szCs w:val="22"/>
        </w:rPr>
        <w:t>,</w:t>
      </w:r>
      <w:r w:rsidRPr="0050021F">
        <w:rPr>
          <w:rFonts w:cs="Arial"/>
          <w:sz w:val="22"/>
          <w:szCs w:val="22"/>
        </w:rPr>
        <w:t xml:space="preserve"> </w:t>
      </w:r>
      <w:r w:rsidR="0069470C">
        <w:rPr>
          <w:rFonts w:cs="Arial"/>
          <w:sz w:val="22"/>
          <w:szCs w:val="22"/>
        </w:rPr>
        <w:t>which</w:t>
      </w:r>
      <w:r w:rsidRPr="0050021F">
        <w:rPr>
          <w:rFonts w:cs="Arial"/>
          <w:sz w:val="22"/>
          <w:szCs w:val="22"/>
        </w:rPr>
        <w:t xml:space="preserve"> exceed</w:t>
      </w:r>
      <w:r>
        <w:rPr>
          <w:rFonts w:cs="Arial"/>
          <w:sz w:val="22"/>
          <w:szCs w:val="22"/>
        </w:rPr>
        <w:t>ed</w:t>
      </w:r>
      <w:r w:rsidRPr="0050021F">
        <w:rPr>
          <w:rFonts w:cs="Arial"/>
          <w:sz w:val="22"/>
          <w:szCs w:val="22"/>
        </w:rPr>
        <w:t xml:space="preserve"> those of </w:t>
      </w:r>
      <w:r w:rsidR="005D78FC">
        <w:rPr>
          <w:rFonts w:cs="Arial"/>
          <w:sz w:val="22"/>
          <w:szCs w:val="22"/>
        </w:rPr>
        <w:t xml:space="preserve">the rest of the market </w:t>
      </w:r>
      <w:r>
        <w:rPr>
          <w:rFonts w:cs="Arial"/>
          <w:sz w:val="22"/>
          <w:szCs w:val="22"/>
        </w:rPr>
        <w:t>in 2013</w:t>
      </w:r>
      <w:r w:rsidR="0069470C">
        <w:rPr>
          <w:rFonts w:cs="Arial"/>
          <w:sz w:val="22"/>
          <w:szCs w:val="22"/>
        </w:rPr>
        <w:t>,</w:t>
      </w:r>
      <w:r w:rsidRPr="0050021F">
        <w:rPr>
          <w:rFonts w:cs="Arial"/>
          <w:sz w:val="22"/>
          <w:szCs w:val="22"/>
        </w:rPr>
        <w:t xml:space="preserve"> will continue to </w:t>
      </w:r>
      <w:r>
        <w:rPr>
          <w:rFonts w:cs="Arial"/>
          <w:sz w:val="22"/>
          <w:szCs w:val="22"/>
        </w:rPr>
        <w:t>do</w:t>
      </w:r>
      <w:r w:rsidRPr="0050021F">
        <w:rPr>
          <w:rFonts w:cs="Arial"/>
          <w:sz w:val="22"/>
          <w:szCs w:val="22"/>
        </w:rPr>
        <w:t xml:space="preserve"> well</w:t>
      </w:r>
      <w:r>
        <w:rPr>
          <w:rFonts w:cs="Arial"/>
          <w:sz w:val="22"/>
          <w:szCs w:val="22"/>
        </w:rPr>
        <w:t>,</w:t>
      </w:r>
      <w:r w:rsidRPr="0050021F">
        <w:rPr>
          <w:rFonts w:cs="Arial"/>
          <w:sz w:val="22"/>
          <w:szCs w:val="22"/>
        </w:rPr>
        <w:t xml:space="preserve"> </w:t>
      </w:r>
      <w:r w:rsidRPr="0050021F">
        <w:rPr>
          <w:rFonts w:cs="Arial"/>
          <w:sz w:val="22"/>
          <w:szCs w:val="22"/>
        </w:rPr>
        <w:lastRenderedPageBreak/>
        <w:t>and Gartner estimates that smartphone sales will represent 88 per cent of global mobile phone sales by 2018</w:t>
      </w:r>
      <w:r w:rsidR="00333F19">
        <w:rPr>
          <w:rFonts w:cs="Arial"/>
          <w:sz w:val="22"/>
          <w:szCs w:val="22"/>
        </w:rPr>
        <w:t xml:space="preserve"> </w:t>
      </w:r>
      <w:r w:rsidR="0069470C">
        <w:rPr>
          <w:rFonts w:cs="Arial"/>
          <w:sz w:val="22"/>
          <w:szCs w:val="22"/>
        </w:rPr>
        <w:t xml:space="preserve">— </w:t>
      </w:r>
      <w:r w:rsidR="00DA6DD5">
        <w:rPr>
          <w:rFonts w:cs="Arial"/>
          <w:sz w:val="22"/>
          <w:szCs w:val="22"/>
        </w:rPr>
        <w:t xml:space="preserve">up from </w:t>
      </w:r>
      <w:r w:rsidR="002C74F6">
        <w:rPr>
          <w:rFonts w:cs="Arial"/>
          <w:sz w:val="22"/>
          <w:szCs w:val="22"/>
        </w:rPr>
        <w:t>66</w:t>
      </w:r>
      <w:r w:rsidR="00333F19">
        <w:rPr>
          <w:rFonts w:cs="Arial"/>
          <w:sz w:val="22"/>
          <w:szCs w:val="22"/>
        </w:rPr>
        <w:t xml:space="preserve"> per cent </w:t>
      </w:r>
      <w:r w:rsidR="0069470C">
        <w:rPr>
          <w:rFonts w:cs="Arial"/>
          <w:sz w:val="22"/>
          <w:szCs w:val="22"/>
        </w:rPr>
        <w:t>in 2014</w:t>
      </w:r>
      <w:r w:rsidRPr="0050021F">
        <w:rPr>
          <w:rFonts w:cs="Arial"/>
          <w:sz w:val="22"/>
          <w:szCs w:val="22"/>
        </w:rPr>
        <w:t>.</w:t>
      </w:r>
    </w:p>
    <w:p w:rsidR="00274D6C" w:rsidRDefault="00274D6C" w:rsidP="00274D6C">
      <w:pPr>
        <w:pStyle w:val="Title"/>
        <w:rPr>
          <w:rFonts w:ascii="Arial" w:hAnsi="Arial" w:cs="Arial"/>
          <w:b w:val="0"/>
          <w:sz w:val="22"/>
          <w:szCs w:val="22"/>
        </w:rPr>
      </w:pPr>
    </w:p>
    <w:p w:rsidR="003E188C" w:rsidRPr="00FE0F4D" w:rsidRDefault="00C73C60" w:rsidP="00D3689E">
      <w:pPr>
        <w:pStyle w:val="Title"/>
        <w:jc w:val="left"/>
        <w:rPr>
          <w:rFonts w:ascii="Arial" w:hAnsi="Arial" w:cs="Arial"/>
          <w:b w:val="0"/>
          <w:sz w:val="22"/>
          <w:szCs w:val="22"/>
        </w:rPr>
      </w:pPr>
      <w:r w:rsidRPr="002517EE">
        <w:rPr>
          <w:rFonts w:ascii="Arial" w:hAnsi="Arial" w:cs="Arial"/>
          <w:b w:val="0"/>
          <w:sz w:val="22"/>
          <w:szCs w:val="22"/>
        </w:rPr>
        <w:t>In the</w:t>
      </w:r>
      <w:r w:rsidR="000C510F" w:rsidRPr="002517EE">
        <w:rPr>
          <w:rFonts w:ascii="Arial" w:hAnsi="Arial" w:cs="Arial"/>
          <w:b w:val="0"/>
          <w:sz w:val="22"/>
          <w:szCs w:val="22"/>
        </w:rPr>
        <w:t xml:space="preserve"> operating system</w:t>
      </w:r>
      <w:r w:rsidRPr="002517EE">
        <w:rPr>
          <w:rFonts w:ascii="Arial" w:hAnsi="Arial" w:cs="Arial"/>
          <w:b w:val="0"/>
          <w:sz w:val="22"/>
          <w:szCs w:val="22"/>
        </w:rPr>
        <w:t xml:space="preserve"> </w:t>
      </w:r>
      <w:r w:rsidR="000C510F" w:rsidRPr="002517EE">
        <w:rPr>
          <w:rFonts w:ascii="Arial" w:hAnsi="Arial" w:cs="Arial"/>
          <w:b w:val="0"/>
          <w:sz w:val="22"/>
          <w:szCs w:val="22"/>
        </w:rPr>
        <w:t>(</w:t>
      </w:r>
      <w:r w:rsidRPr="002517EE">
        <w:rPr>
          <w:rFonts w:ascii="Arial" w:hAnsi="Arial" w:cs="Arial"/>
          <w:b w:val="0"/>
          <w:sz w:val="22"/>
          <w:szCs w:val="22"/>
        </w:rPr>
        <w:t>OS</w:t>
      </w:r>
      <w:r w:rsidR="000C510F" w:rsidRPr="002517EE">
        <w:rPr>
          <w:rFonts w:ascii="Arial" w:hAnsi="Arial" w:cs="Arial"/>
          <w:b w:val="0"/>
          <w:sz w:val="22"/>
          <w:szCs w:val="22"/>
        </w:rPr>
        <w:t>)</w:t>
      </w:r>
      <w:r w:rsidRPr="002517EE">
        <w:rPr>
          <w:rFonts w:ascii="Arial" w:hAnsi="Arial" w:cs="Arial"/>
          <w:b w:val="0"/>
          <w:sz w:val="22"/>
          <w:szCs w:val="22"/>
        </w:rPr>
        <w:t xml:space="preserve"> market, </w:t>
      </w:r>
      <w:r w:rsidR="009800D8" w:rsidRPr="002517EE">
        <w:rPr>
          <w:rFonts w:ascii="Arial" w:hAnsi="Arial" w:cs="Arial"/>
          <w:b w:val="0"/>
          <w:sz w:val="22"/>
          <w:szCs w:val="22"/>
        </w:rPr>
        <w:t>Android and iOS are driving the growth with a 30 per cent and 15 per cent increase</w:t>
      </w:r>
      <w:r w:rsidR="0069470C">
        <w:rPr>
          <w:rFonts w:ascii="Arial" w:hAnsi="Arial" w:cs="Arial"/>
          <w:b w:val="0"/>
          <w:sz w:val="22"/>
          <w:szCs w:val="22"/>
        </w:rPr>
        <w:t>, respectively,</w:t>
      </w:r>
      <w:r w:rsidR="009800D8" w:rsidRPr="002517EE">
        <w:rPr>
          <w:rFonts w:ascii="Arial" w:hAnsi="Arial" w:cs="Arial"/>
          <w:b w:val="0"/>
          <w:sz w:val="22"/>
          <w:szCs w:val="22"/>
        </w:rPr>
        <w:t xml:space="preserve"> in 2014</w:t>
      </w:r>
      <w:r w:rsidR="00333F19">
        <w:rPr>
          <w:rFonts w:ascii="Arial" w:hAnsi="Arial" w:cs="Arial"/>
          <w:b w:val="0"/>
          <w:sz w:val="22"/>
          <w:szCs w:val="22"/>
        </w:rPr>
        <w:t xml:space="preserve"> </w:t>
      </w:r>
      <w:r w:rsidR="0003539D" w:rsidRPr="002517EE">
        <w:rPr>
          <w:rFonts w:ascii="Arial" w:hAnsi="Arial" w:cs="Arial"/>
          <w:b w:val="0"/>
          <w:sz w:val="22"/>
          <w:szCs w:val="22"/>
        </w:rPr>
        <w:t>(see Table 2)</w:t>
      </w:r>
      <w:r w:rsidR="003E188C" w:rsidRPr="002517EE">
        <w:rPr>
          <w:rFonts w:ascii="Arial" w:hAnsi="Arial" w:cs="Arial"/>
          <w:b w:val="0"/>
          <w:sz w:val="22"/>
          <w:szCs w:val="22"/>
        </w:rPr>
        <w:t>.</w:t>
      </w:r>
      <w:r w:rsidR="009800D8">
        <w:rPr>
          <w:rFonts w:ascii="Arial" w:hAnsi="Arial" w:cs="Arial"/>
          <w:b w:val="0"/>
          <w:sz w:val="22"/>
          <w:szCs w:val="22"/>
        </w:rPr>
        <w:t xml:space="preserve"> </w:t>
      </w:r>
      <w:r w:rsidR="0069470C">
        <w:rPr>
          <w:rFonts w:ascii="Arial" w:hAnsi="Arial" w:cs="Arial"/>
          <w:b w:val="0"/>
          <w:sz w:val="22"/>
          <w:szCs w:val="22"/>
        </w:rPr>
        <w:t>"</w:t>
      </w:r>
      <w:r w:rsidR="001C442A" w:rsidRPr="00FE0F4D">
        <w:rPr>
          <w:rFonts w:ascii="Arial" w:hAnsi="Arial" w:cs="Arial"/>
          <w:b w:val="0"/>
          <w:sz w:val="22"/>
          <w:szCs w:val="22"/>
        </w:rPr>
        <w:t>We expect t</w:t>
      </w:r>
      <w:r w:rsidR="001C442A" w:rsidRPr="00FE0F4D">
        <w:rPr>
          <w:rFonts w:ascii="Arial" w:hAnsi="Arial" w:cs="Arial"/>
          <w:b w:val="0"/>
          <w:color w:val="000000" w:themeColor="text1"/>
          <w:sz w:val="22"/>
          <w:szCs w:val="22"/>
        </w:rPr>
        <w:t xml:space="preserve">he announcement of </w:t>
      </w:r>
      <w:r w:rsidR="005A75BC">
        <w:rPr>
          <w:rFonts w:ascii="Arial" w:hAnsi="Arial" w:cs="Arial"/>
          <w:b w:val="0"/>
          <w:color w:val="000000" w:themeColor="text1"/>
          <w:sz w:val="22"/>
          <w:szCs w:val="22"/>
        </w:rPr>
        <w:t>the</w:t>
      </w:r>
      <w:r w:rsidR="005A75BC" w:rsidRPr="00FE0F4D">
        <w:rPr>
          <w:rFonts w:ascii="Arial" w:hAnsi="Arial" w:cs="Arial"/>
          <w:b w:val="0"/>
          <w:color w:val="000000" w:themeColor="text1"/>
          <w:sz w:val="22"/>
          <w:szCs w:val="22"/>
        </w:rPr>
        <w:t xml:space="preserve"> </w:t>
      </w:r>
      <w:r w:rsidR="001C442A" w:rsidRPr="00FE0F4D">
        <w:rPr>
          <w:rFonts w:ascii="Arial" w:hAnsi="Arial" w:cs="Arial"/>
          <w:b w:val="0"/>
          <w:color w:val="000000" w:themeColor="text1"/>
          <w:sz w:val="22"/>
          <w:szCs w:val="22"/>
        </w:rPr>
        <w:t xml:space="preserve">new Apple iPhone 6 will attract </w:t>
      </w:r>
      <w:r w:rsidR="001C442A">
        <w:rPr>
          <w:rFonts w:ascii="Arial" w:hAnsi="Arial" w:cs="Arial"/>
          <w:b w:val="0"/>
          <w:color w:val="000000" w:themeColor="text1"/>
          <w:sz w:val="22"/>
          <w:szCs w:val="22"/>
        </w:rPr>
        <w:t>pent</w:t>
      </w:r>
      <w:r w:rsidR="0069470C">
        <w:rPr>
          <w:rFonts w:ascii="Arial" w:hAnsi="Arial" w:cs="Arial"/>
          <w:b w:val="0"/>
          <w:color w:val="000000" w:themeColor="text1"/>
          <w:sz w:val="22"/>
          <w:szCs w:val="22"/>
        </w:rPr>
        <w:t>-</w:t>
      </w:r>
      <w:r w:rsidR="001C442A">
        <w:rPr>
          <w:rFonts w:ascii="Arial" w:hAnsi="Arial" w:cs="Arial"/>
          <w:b w:val="0"/>
          <w:color w:val="000000" w:themeColor="text1"/>
          <w:sz w:val="22"/>
          <w:szCs w:val="22"/>
        </w:rPr>
        <w:t xml:space="preserve">up demand for </w:t>
      </w:r>
      <w:r w:rsidR="001C442A" w:rsidRPr="00FE0F4D">
        <w:rPr>
          <w:rFonts w:ascii="Arial" w:hAnsi="Arial" w:cs="Arial"/>
          <w:b w:val="0"/>
          <w:color w:val="000000" w:themeColor="text1"/>
          <w:sz w:val="22"/>
          <w:szCs w:val="22"/>
        </w:rPr>
        <w:t>users who want a larger screen</w:t>
      </w:r>
      <w:r w:rsidR="001C442A">
        <w:rPr>
          <w:rFonts w:ascii="Arial" w:hAnsi="Arial" w:cs="Arial"/>
          <w:b w:val="0"/>
          <w:color w:val="000000" w:themeColor="text1"/>
          <w:sz w:val="22"/>
          <w:szCs w:val="22"/>
        </w:rPr>
        <w:t>,</w:t>
      </w:r>
      <w:r w:rsidR="0069470C">
        <w:rPr>
          <w:rFonts w:ascii="Arial" w:hAnsi="Arial" w:cs="Arial"/>
          <w:b w:val="0"/>
          <w:color w:val="000000" w:themeColor="text1"/>
          <w:sz w:val="22"/>
          <w:szCs w:val="22"/>
        </w:rPr>
        <w:t>"</w:t>
      </w:r>
      <w:r w:rsidR="001C442A">
        <w:rPr>
          <w:rFonts w:ascii="Arial" w:hAnsi="Arial" w:cs="Arial"/>
          <w:b w:val="0"/>
          <w:color w:val="000000" w:themeColor="text1"/>
          <w:sz w:val="22"/>
          <w:szCs w:val="22"/>
        </w:rPr>
        <w:t xml:space="preserve"> said Annette Zimmermann, research director at Gartner.</w:t>
      </w:r>
      <w:r w:rsidR="001C442A">
        <w:rPr>
          <w:rFonts w:ascii="Arial" w:hAnsi="Arial" w:cs="Arial"/>
          <w:b w:val="0"/>
          <w:sz w:val="22"/>
          <w:szCs w:val="22"/>
        </w:rPr>
        <w:t xml:space="preserve"> </w:t>
      </w:r>
      <w:r w:rsidR="0069470C">
        <w:rPr>
          <w:rFonts w:ascii="Arial" w:hAnsi="Arial" w:cs="Arial"/>
          <w:b w:val="0"/>
          <w:sz w:val="22"/>
          <w:szCs w:val="22"/>
        </w:rPr>
        <w:t>"</w:t>
      </w:r>
      <w:r w:rsidR="005E44D6">
        <w:rPr>
          <w:rFonts w:ascii="Arial" w:hAnsi="Arial" w:cs="Arial"/>
          <w:b w:val="0"/>
          <w:sz w:val="22"/>
          <w:szCs w:val="22"/>
        </w:rPr>
        <w:t>Windows</w:t>
      </w:r>
      <w:r w:rsidR="009366EE">
        <w:rPr>
          <w:rFonts w:ascii="Arial" w:hAnsi="Arial" w:cs="Arial"/>
          <w:b w:val="0"/>
          <w:sz w:val="22"/>
          <w:szCs w:val="22"/>
        </w:rPr>
        <w:t xml:space="preserve"> phones</w:t>
      </w:r>
      <w:r w:rsidR="001C442A">
        <w:rPr>
          <w:rFonts w:ascii="Arial" w:hAnsi="Arial" w:cs="Arial"/>
          <w:b w:val="0"/>
          <w:sz w:val="22"/>
          <w:szCs w:val="22"/>
        </w:rPr>
        <w:t xml:space="preserve"> will exhibit</w:t>
      </w:r>
      <w:r w:rsidR="009366EE">
        <w:rPr>
          <w:rFonts w:ascii="Arial" w:hAnsi="Arial" w:cs="Arial"/>
          <w:b w:val="0"/>
          <w:sz w:val="22"/>
          <w:szCs w:val="22"/>
        </w:rPr>
        <w:t xml:space="preserve"> strong growth </w:t>
      </w:r>
      <w:r w:rsidR="00333F19">
        <w:rPr>
          <w:rFonts w:ascii="Arial" w:hAnsi="Arial" w:cs="Arial"/>
          <w:b w:val="0"/>
          <w:sz w:val="22"/>
          <w:szCs w:val="22"/>
        </w:rPr>
        <w:t>from</w:t>
      </w:r>
      <w:r w:rsidR="009366EE">
        <w:rPr>
          <w:rFonts w:ascii="Arial" w:hAnsi="Arial" w:cs="Arial"/>
          <w:b w:val="0"/>
          <w:sz w:val="22"/>
          <w:szCs w:val="22"/>
        </w:rPr>
        <w:t xml:space="preserve"> a low base in 2014</w:t>
      </w:r>
      <w:r w:rsidR="001C442A">
        <w:rPr>
          <w:rFonts w:ascii="Arial" w:hAnsi="Arial" w:cs="Arial"/>
          <w:b w:val="0"/>
          <w:sz w:val="22"/>
          <w:szCs w:val="22"/>
        </w:rPr>
        <w:t>,</w:t>
      </w:r>
      <w:r w:rsidR="009366EE">
        <w:rPr>
          <w:rFonts w:ascii="Arial" w:hAnsi="Arial" w:cs="Arial"/>
          <w:b w:val="0"/>
          <w:sz w:val="22"/>
          <w:szCs w:val="22"/>
        </w:rPr>
        <w:t xml:space="preserve"> and</w:t>
      </w:r>
      <w:r w:rsidR="001C442A">
        <w:rPr>
          <w:rFonts w:ascii="Arial" w:hAnsi="Arial" w:cs="Arial"/>
          <w:b w:val="0"/>
          <w:sz w:val="22"/>
          <w:szCs w:val="22"/>
        </w:rPr>
        <w:t xml:space="preserve"> are projected to reach</w:t>
      </w:r>
      <w:r w:rsidR="0069470C">
        <w:rPr>
          <w:rFonts w:ascii="Arial" w:hAnsi="Arial" w:cs="Arial"/>
          <w:b w:val="0"/>
          <w:sz w:val="22"/>
          <w:szCs w:val="22"/>
        </w:rPr>
        <w:t xml:space="preserve"> a</w:t>
      </w:r>
      <w:r w:rsidR="001C442A">
        <w:rPr>
          <w:rFonts w:ascii="Arial" w:hAnsi="Arial" w:cs="Arial"/>
          <w:b w:val="0"/>
          <w:sz w:val="22"/>
          <w:szCs w:val="22"/>
        </w:rPr>
        <w:t xml:space="preserve"> 10 per cent market</w:t>
      </w:r>
      <w:r w:rsidR="009366EE">
        <w:rPr>
          <w:rFonts w:ascii="Arial" w:hAnsi="Arial" w:cs="Arial"/>
          <w:b w:val="0"/>
          <w:sz w:val="22"/>
          <w:szCs w:val="22"/>
        </w:rPr>
        <w:t xml:space="preserve"> share by 2018</w:t>
      </w:r>
      <w:r w:rsidR="00333F19">
        <w:rPr>
          <w:rFonts w:ascii="Arial" w:hAnsi="Arial" w:cs="Arial"/>
          <w:b w:val="0"/>
          <w:sz w:val="22"/>
          <w:szCs w:val="22"/>
        </w:rPr>
        <w:t xml:space="preserve"> </w:t>
      </w:r>
      <w:r w:rsidR="0069470C">
        <w:rPr>
          <w:rFonts w:ascii="Arial" w:hAnsi="Arial" w:cs="Arial"/>
          <w:b w:val="0"/>
          <w:sz w:val="22"/>
          <w:szCs w:val="22"/>
        </w:rPr>
        <w:t xml:space="preserve">— </w:t>
      </w:r>
      <w:r w:rsidR="00333F19">
        <w:rPr>
          <w:rFonts w:ascii="Arial" w:hAnsi="Arial" w:cs="Arial"/>
          <w:b w:val="0"/>
          <w:sz w:val="22"/>
          <w:szCs w:val="22"/>
        </w:rPr>
        <w:t>up from</w:t>
      </w:r>
      <w:r w:rsidR="0069470C">
        <w:rPr>
          <w:rFonts w:ascii="Arial" w:hAnsi="Arial" w:cs="Arial"/>
          <w:b w:val="0"/>
          <w:sz w:val="22"/>
          <w:szCs w:val="22"/>
        </w:rPr>
        <w:t xml:space="preserve"> </w:t>
      </w:r>
      <w:r w:rsidR="002C74F6">
        <w:rPr>
          <w:rFonts w:ascii="Arial" w:hAnsi="Arial" w:cs="Arial"/>
          <w:b w:val="0"/>
          <w:sz w:val="22"/>
          <w:szCs w:val="22"/>
        </w:rPr>
        <w:t>4</w:t>
      </w:r>
      <w:r w:rsidR="00333F19">
        <w:rPr>
          <w:rFonts w:ascii="Arial" w:hAnsi="Arial" w:cs="Arial"/>
          <w:b w:val="0"/>
          <w:sz w:val="22"/>
          <w:szCs w:val="22"/>
        </w:rPr>
        <w:t xml:space="preserve"> per cent in 2014</w:t>
      </w:r>
      <w:r w:rsidR="009366EE">
        <w:rPr>
          <w:rFonts w:ascii="Arial" w:hAnsi="Arial" w:cs="Arial"/>
          <w:b w:val="0"/>
          <w:sz w:val="22"/>
          <w:szCs w:val="22"/>
        </w:rPr>
        <w:t>.</w:t>
      </w:r>
      <w:r w:rsidR="0069470C">
        <w:rPr>
          <w:rFonts w:ascii="Arial" w:hAnsi="Arial" w:cs="Arial"/>
          <w:b w:val="0"/>
          <w:sz w:val="22"/>
          <w:szCs w:val="22"/>
        </w:rPr>
        <w:t>"</w:t>
      </w:r>
    </w:p>
    <w:p w:rsidR="0050021F" w:rsidRPr="001B6BF8" w:rsidRDefault="0050021F" w:rsidP="00D3689E">
      <w:pPr>
        <w:pStyle w:val="Title"/>
        <w:jc w:val="left"/>
        <w:rPr>
          <w:rFonts w:ascii="Arial" w:hAnsi="Arial" w:cs="Arial"/>
          <w:b w:val="0"/>
          <w:sz w:val="22"/>
          <w:szCs w:val="22"/>
        </w:rPr>
      </w:pPr>
    </w:p>
    <w:p w:rsidR="00D3689E" w:rsidRPr="001B6BF8" w:rsidRDefault="00D3689E" w:rsidP="00D3689E">
      <w:pPr>
        <w:pStyle w:val="ListBullet"/>
        <w:spacing w:before="0"/>
        <w:ind w:left="0" w:firstLine="0"/>
        <w:rPr>
          <w:rFonts w:cs="Arial"/>
          <w:b/>
          <w:sz w:val="22"/>
          <w:szCs w:val="22"/>
        </w:rPr>
      </w:pPr>
      <w:r w:rsidRPr="001B6BF8">
        <w:rPr>
          <w:rFonts w:cs="Arial"/>
          <w:b/>
          <w:sz w:val="22"/>
          <w:szCs w:val="22"/>
        </w:rPr>
        <w:t>Table 2</w:t>
      </w:r>
    </w:p>
    <w:p w:rsidR="00D3689E" w:rsidRPr="001B6BF8" w:rsidRDefault="00D3689E" w:rsidP="00D3689E">
      <w:pPr>
        <w:rPr>
          <w:rFonts w:cs="Arial"/>
          <w:sz w:val="22"/>
          <w:szCs w:val="22"/>
        </w:rPr>
      </w:pPr>
      <w:r w:rsidRPr="001B6BF8">
        <w:rPr>
          <w:b/>
          <w:bCs/>
          <w:sz w:val="22"/>
          <w:szCs w:val="22"/>
        </w:rPr>
        <w:t>Worldwide Device Shipments by Operating System (</w:t>
      </w:r>
      <w:r w:rsidR="003C151C">
        <w:rPr>
          <w:b/>
          <w:bCs/>
          <w:sz w:val="22"/>
          <w:szCs w:val="22"/>
        </w:rPr>
        <w:t>Thousands</w:t>
      </w:r>
      <w:r w:rsidRPr="001B6BF8">
        <w:rPr>
          <w:b/>
          <w:bCs/>
          <w:sz w:val="22"/>
          <w:szCs w:val="22"/>
        </w:rPr>
        <w:t xml:space="preserve"> of Units)</w:t>
      </w:r>
    </w:p>
    <w:tbl>
      <w:tblPr>
        <w:tblW w:w="4110" w:type="pct"/>
        <w:tblInd w:w="108" w:type="dxa"/>
        <w:tblBorders>
          <w:top w:val="single" w:sz="6" w:space="0" w:color="auto"/>
          <w:left w:val="single" w:sz="6" w:space="0" w:color="auto"/>
          <w:bottom w:val="single" w:sz="6" w:space="0" w:color="auto"/>
          <w:right w:val="single" w:sz="6" w:space="0" w:color="auto"/>
        </w:tblBorders>
        <w:tblLook w:val="0000"/>
      </w:tblPr>
      <w:tblGrid>
        <w:gridCol w:w="3623"/>
        <w:gridCol w:w="1695"/>
        <w:gridCol w:w="1782"/>
        <w:gridCol w:w="1612"/>
      </w:tblGrid>
      <w:tr w:rsidR="00C60CB8" w:rsidRPr="001B6BF8" w:rsidTr="00527B9F">
        <w:tc>
          <w:tcPr>
            <w:tcW w:w="2079" w:type="pct"/>
            <w:tcBorders>
              <w:top w:val="single" w:sz="6" w:space="0" w:color="auto"/>
              <w:bottom w:val="single" w:sz="6" w:space="0" w:color="auto"/>
            </w:tcBorders>
          </w:tcPr>
          <w:p w:rsidR="00C60CB8" w:rsidRPr="00681CB8" w:rsidRDefault="00C60CB8" w:rsidP="00295F0E">
            <w:pPr>
              <w:pStyle w:val="HeadingJustified"/>
              <w:tabs>
                <w:tab w:val="decimal" w:pos="990"/>
                <w:tab w:val="decimal" w:pos="2070"/>
                <w:tab w:val="left" w:pos="2880"/>
                <w:tab w:val="decimal" w:pos="4140"/>
                <w:tab w:val="decimal" w:pos="4860"/>
                <w:tab w:val="decimal" w:pos="7020"/>
                <w:tab w:val="decimal" w:pos="7110"/>
              </w:tabs>
              <w:rPr>
                <w:rFonts w:cs="Arial"/>
              </w:rPr>
            </w:pPr>
            <w:r w:rsidRPr="00681CB8">
              <w:rPr>
                <w:rFonts w:cs="Arial"/>
              </w:rPr>
              <w:t>Operating System</w:t>
            </w:r>
          </w:p>
        </w:tc>
        <w:tc>
          <w:tcPr>
            <w:tcW w:w="973" w:type="pct"/>
            <w:tcBorders>
              <w:top w:val="single" w:sz="6" w:space="0" w:color="auto"/>
              <w:bottom w:val="single" w:sz="6" w:space="0" w:color="auto"/>
            </w:tcBorders>
          </w:tcPr>
          <w:p w:rsidR="00C60CB8" w:rsidRPr="00681CB8" w:rsidRDefault="00C60CB8" w:rsidP="00295F0E">
            <w:pPr>
              <w:tabs>
                <w:tab w:val="decimal" w:pos="990"/>
                <w:tab w:val="decimal" w:pos="2070"/>
                <w:tab w:val="left" w:pos="2880"/>
                <w:tab w:val="decimal" w:pos="4140"/>
                <w:tab w:val="decimal" w:pos="4860"/>
                <w:tab w:val="decimal" w:pos="7020"/>
                <w:tab w:val="decimal" w:pos="7110"/>
              </w:tabs>
              <w:jc w:val="right"/>
              <w:rPr>
                <w:rFonts w:cs="Arial"/>
                <w:b/>
              </w:rPr>
            </w:pPr>
            <w:r w:rsidRPr="00681CB8">
              <w:rPr>
                <w:rFonts w:cs="Arial"/>
                <w:b/>
              </w:rPr>
              <w:t>2013</w:t>
            </w:r>
          </w:p>
        </w:tc>
        <w:tc>
          <w:tcPr>
            <w:tcW w:w="1023" w:type="pct"/>
            <w:tcBorders>
              <w:top w:val="single" w:sz="6" w:space="0" w:color="auto"/>
              <w:bottom w:val="single" w:sz="6" w:space="0" w:color="auto"/>
            </w:tcBorders>
          </w:tcPr>
          <w:p w:rsidR="00C60CB8" w:rsidRPr="00681CB8" w:rsidRDefault="00C60CB8" w:rsidP="00295F0E">
            <w:pPr>
              <w:tabs>
                <w:tab w:val="decimal" w:pos="990"/>
                <w:tab w:val="decimal" w:pos="2070"/>
                <w:tab w:val="left" w:pos="2880"/>
                <w:tab w:val="decimal" w:pos="4140"/>
                <w:tab w:val="decimal" w:pos="4860"/>
                <w:tab w:val="decimal" w:pos="7020"/>
                <w:tab w:val="decimal" w:pos="7110"/>
              </w:tabs>
              <w:jc w:val="right"/>
              <w:rPr>
                <w:rFonts w:cs="Arial"/>
                <w:b/>
              </w:rPr>
            </w:pPr>
            <w:r w:rsidRPr="00681CB8">
              <w:rPr>
                <w:rFonts w:cs="Arial"/>
                <w:b/>
              </w:rPr>
              <w:t>2014</w:t>
            </w:r>
          </w:p>
        </w:tc>
        <w:tc>
          <w:tcPr>
            <w:tcW w:w="925" w:type="pct"/>
            <w:tcBorders>
              <w:top w:val="single" w:sz="6" w:space="0" w:color="auto"/>
              <w:bottom w:val="single" w:sz="6" w:space="0" w:color="auto"/>
            </w:tcBorders>
          </w:tcPr>
          <w:p w:rsidR="00C60CB8" w:rsidRPr="00681CB8" w:rsidRDefault="00C60CB8" w:rsidP="00295F0E">
            <w:pPr>
              <w:tabs>
                <w:tab w:val="decimal" w:pos="990"/>
                <w:tab w:val="decimal" w:pos="2070"/>
                <w:tab w:val="left" w:pos="2880"/>
                <w:tab w:val="decimal" w:pos="4140"/>
                <w:tab w:val="decimal" w:pos="4860"/>
                <w:tab w:val="decimal" w:pos="7020"/>
                <w:tab w:val="decimal" w:pos="7110"/>
              </w:tabs>
              <w:jc w:val="right"/>
              <w:rPr>
                <w:rFonts w:cs="Arial"/>
                <w:b/>
              </w:rPr>
            </w:pPr>
            <w:r w:rsidRPr="00681CB8">
              <w:rPr>
                <w:rFonts w:cs="Arial"/>
                <w:b/>
              </w:rPr>
              <w:t>2015</w:t>
            </w:r>
          </w:p>
        </w:tc>
      </w:tr>
      <w:tr w:rsidR="00422B46" w:rsidRPr="001B6BF8" w:rsidTr="00527B9F">
        <w:tc>
          <w:tcPr>
            <w:tcW w:w="2079" w:type="pct"/>
            <w:tcBorders>
              <w:top w:val="nil"/>
            </w:tcBorders>
            <w:vAlign w:val="bottom"/>
          </w:tcPr>
          <w:p w:rsidR="00422B46" w:rsidRPr="00681CB8" w:rsidRDefault="00422B46" w:rsidP="00295F0E">
            <w:pPr>
              <w:rPr>
                <w:rFonts w:cs="Arial"/>
              </w:rPr>
            </w:pPr>
            <w:r w:rsidRPr="00681CB8">
              <w:rPr>
                <w:rFonts w:cs="Arial"/>
              </w:rPr>
              <w:t>Android</w:t>
            </w:r>
          </w:p>
        </w:tc>
        <w:tc>
          <w:tcPr>
            <w:tcW w:w="973" w:type="pct"/>
            <w:tcBorders>
              <w:top w:val="nil"/>
            </w:tcBorders>
          </w:tcPr>
          <w:p w:rsidR="00422B46" w:rsidRPr="00681CB8" w:rsidRDefault="009800D8">
            <w:pPr>
              <w:autoSpaceDE w:val="0"/>
              <w:autoSpaceDN w:val="0"/>
              <w:jc w:val="right"/>
              <w:rPr>
                <w:rFonts w:eastAsiaTheme="minorHAnsi" w:cs="Arial"/>
                <w:color w:val="000000"/>
              </w:rPr>
            </w:pPr>
            <w:r w:rsidRPr="00681CB8">
              <w:rPr>
                <w:rFonts w:eastAsiaTheme="minorHAnsi" w:cs="Arial"/>
                <w:color w:val="000000"/>
              </w:rPr>
              <w:t>898,944</w:t>
            </w:r>
          </w:p>
        </w:tc>
        <w:tc>
          <w:tcPr>
            <w:tcW w:w="1023" w:type="pct"/>
            <w:tcBorders>
              <w:top w:val="nil"/>
            </w:tcBorders>
          </w:tcPr>
          <w:p w:rsidR="00422B46" w:rsidRPr="00681CB8" w:rsidRDefault="009800D8">
            <w:pPr>
              <w:autoSpaceDE w:val="0"/>
              <w:autoSpaceDN w:val="0"/>
              <w:jc w:val="right"/>
              <w:rPr>
                <w:rFonts w:eastAsiaTheme="minorHAnsi" w:cs="Arial"/>
                <w:color w:val="000000"/>
              </w:rPr>
            </w:pPr>
            <w:r w:rsidRPr="00681CB8">
              <w:rPr>
                <w:rFonts w:eastAsiaTheme="minorHAnsi" w:cs="Arial"/>
                <w:color w:val="000000"/>
              </w:rPr>
              <w:t>1,168,282</w:t>
            </w:r>
          </w:p>
        </w:tc>
        <w:tc>
          <w:tcPr>
            <w:tcW w:w="925" w:type="pct"/>
            <w:tcBorders>
              <w:top w:val="nil"/>
            </w:tcBorders>
          </w:tcPr>
          <w:p w:rsidR="00422B46" w:rsidRPr="00681CB8" w:rsidRDefault="009800D8">
            <w:pPr>
              <w:autoSpaceDE w:val="0"/>
              <w:autoSpaceDN w:val="0"/>
              <w:jc w:val="right"/>
              <w:rPr>
                <w:rFonts w:eastAsiaTheme="minorHAnsi" w:cs="Arial"/>
                <w:color w:val="000000"/>
              </w:rPr>
            </w:pPr>
            <w:r w:rsidRPr="00681CB8">
              <w:rPr>
                <w:rFonts w:eastAsiaTheme="minorHAnsi" w:cs="Arial"/>
                <w:color w:val="000000"/>
              </w:rPr>
              <w:t>1,370,893</w:t>
            </w:r>
          </w:p>
        </w:tc>
      </w:tr>
      <w:tr w:rsidR="00422B46" w:rsidRPr="001B6BF8" w:rsidTr="00527B9F">
        <w:tc>
          <w:tcPr>
            <w:tcW w:w="2079" w:type="pct"/>
            <w:vAlign w:val="bottom"/>
          </w:tcPr>
          <w:p w:rsidR="00422B46" w:rsidRPr="00681CB8" w:rsidRDefault="00422B46" w:rsidP="00295F0E">
            <w:pPr>
              <w:rPr>
                <w:rFonts w:cs="Arial"/>
              </w:rPr>
            </w:pPr>
            <w:r w:rsidRPr="00681CB8">
              <w:rPr>
                <w:rFonts w:cs="Arial"/>
              </w:rPr>
              <w:t>Windows</w:t>
            </w:r>
          </w:p>
        </w:tc>
        <w:tc>
          <w:tcPr>
            <w:tcW w:w="973" w:type="pct"/>
          </w:tcPr>
          <w:p w:rsidR="00422B46" w:rsidRPr="00681CB8" w:rsidRDefault="009800D8">
            <w:pPr>
              <w:autoSpaceDE w:val="0"/>
              <w:autoSpaceDN w:val="0"/>
              <w:jc w:val="right"/>
              <w:rPr>
                <w:rFonts w:eastAsiaTheme="minorHAnsi" w:cs="Arial"/>
                <w:color w:val="000000"/>
              </w:rPr>
            </w:pPr>
            <w:r w:rsidRPr="00681CB8">
              <w:rPr>
                <w:rFonts w:eastAsiaTheme="minorHAnsi" w:cs="Arial"/>
                <w:color w:val="000000"/>
              </w:rPr>
              <w:t>326,060</w:t>
            </w:r>
          </w:p>
        </w:tc>
        <w:tc>
          <w:tcPr>
            <w:tcW w:w="1023" w:type="pct"/>
          </w:tcPr>
          <w:p w:rsidR="00422B46" w:rsidRPr="00681CB8" w:rsidRDefault="009800D8">
            <w:pPr>
              <w:autoSpaceDE w:val="0"/>
              <w:autoSpaceDN w:val="0"/>
              <w:jc w:val="right"/>
              <w:rPr>
                <w:rFonts w:eastAsiaTheme="minorHAnsi" w:cs="Arial"/>
                <w:color w:val="000000"/>
              </w:rPr>
            </w:pPr>
            <w:r w:rsidRPr="00681CB8">
              <w:rPr>
                <w:rFonts w:eastAsiaTheme="minorHAnsi" w:cs="Arial"/>
                <w:color w:val="000000"/>
              </w:rPr>
              <w:t>333,419</w:t>
            </w:r>
          </w:p>
        </w:tc>
        <w:tc>
          <w:tcPr>
            <w:tcW w:w="925" w:type="pct"/>
          </w:tcPr>
          <w:p w:rsidR="00422B46" w:rsidRPr="00681CB8" w:rsidRDefault="009800D8">
            <w:pPr>
              <w:autoSpaceDE w:val="0"/>
              <w:autoSpaceDN w:val="0"/>
              <w:jc w:val="right"/>
              <w:rPr>
                <w:rFonts w:eastAsiaTheme="minorHAnsi" w:cs="Arial"/>
                <w:color w:val="000000"/>
              </w:rPr>
            </w:pPr>
            <w:r w:rsidRPr="00681CB8">
              <w:rPr>
                <w:rFonts w:eastAsiaTheme="minorHAnsi" w:cs="Arial"/>
                <w:color w:val="000000"/>
              </w:rPr>
              <w:t>373,694</w:t>
            </w:r>
          </w:p>
        </w:tc>
      </w:tr>
      <w:tr w:rsidR="00422B46" w:rsidRPr="001B6BF8" w:rsidTr="00527B9F">
        <w:tc>
          <w:tcPr>
            <w:tcW w:w="2079" w:type="pct"/>
            <w:vAlign w:val="bottom"/>
          </w:tcPr>
          <w:p w:rsidR="00422B46" w:rsidRPr="00681CB8" w:rsidRDefault="00422B46" w:rsidP="00295F0E">
            <w:pPr>
              <w:rPr>
                <w:rFonts w:cs="Arial"/>
              </w:rPr>
            </w:pPr>
            <w:r w:rsidRPr="00681CB8">
              <w:rPr>
                <w:rFonts w:cs="Arial"/>
              </w:rPr>
              <w:t>iOS/Mac OS</w:t>
            </w:r>
          </w:p>
        </w:tc>
        <w:tc>
          <w:tcPr>
            <w:tcW w:w="973" w:type="pct"/>
          </w:tcPr>
          <w:p w:rsidR="00422B46" w:rsidRPr="00681CB8" w:rsidRDefault="009800D8">
            <w:pPr>
              <w:autoSpaceDE w:val="0"/>
              <w:autoSpaceDN w:val="0"/>
              <w:jc w:val="right"/>
              <w:rPr>
                <w:rFonts w:eastAsiaTheme="minorHAnsi" w:cs="Arial"/>
                <w:color w:val="000000"/>
              </w:rPr>
            </w:pPr>
            <w:r w:rsidRPr="00681CB8">
              <w:rPr>
                <w:rFonts w:eastAsiaTheme="minorHAnsi" w:cs="Arial"/>
                <w:color w:val="000000"/>
              </w:rPr>
              <w:t>236,200</w:t>
            </w:r>
          </w:p>
        </w:tc>
        <w:tc>
          <w:tcPr>
            <w:tcW w:w="1023" w:type="pct"/>
          </w:tcPr>
          <w:p w:rsidR="00422B46" w:rsidRPr="00681CB8" w:rsidRDefault="009800D8">
            <w:pPr>
              <w:autoSpaceDE w:val="0"/>
              <w:autoSpaceDN w:val="0"/>
              <w:jc w:val="right"/>
              <w:rPr>
                <w:rFonts w:eastAsiaTheme="minorHAnsi" w:cs="Arial"/>
                <w:color w:val="000000"/>
              </w:rPr>
            </w:pPr>
            <w:r w:rsidRPr="00681CB8">
              <w:rPr>
                <w:rFonts w:eastAsiaTheme="minorHAnsi" w:cs="Arial"/>
                <w:color w:val="000000"/>
              </w:rPr>
              <w:t>271,115</w:t>
            </w:r>
          </w:p>
        </w:tc>
        <w:tc>
          <w:tcPr>
            <w:tcW w:w="925" w:type="pct"/>
          </w:tcPr>
          <w:p w:rsidR="00422B46" w:rsidRPr="00681CB8" w:rsidRDefault="009800D8">
            <w:pPr>
              <w:autoSpaceDE w:val="0"/>
              <w:autoSpaceDN w:val="0"/>
              <w:jc w:val="right"/>
              <w:rPr>
                <w:rFonts w:eastAsiaTheme="minorHAnsi" w:cs="Arial"/>
                <w:color w:val="000000"/>
              </w:rPr>
            </w:pPr>
            <w:r w:rsidRPr="00681CB8">
              <w:rPr>
                <w:rFonts w:eastAsiaTheme="minorHAnsi" w:cs="Arial"/>
                <w:color w:val="000000"/>
              </w:rPr>
              <w:t>301,349</w:t>
            </w:r>
          </w:p>
        </w:tc>
      </w:tr>
      <w:tr w:rsidR="00422B46" w:rsidRPr="001B6BF8" w:rsidTr="00FE0F4D">
        <w:trPr>
          <w:trHeight w:val="135"/>
        </w:trPr>
        <w:tc>
          <w:tcPr>
            <w:tcW w:w="2079" w:type="pct"/>
            <w:vAlign w:val="bottom"/>
          </w:tcPr>
          <w:p w:rsidR="00422B46" w:rsidRPr="00681CB8" w:rsidRDefault="00422B46" w:rsidP="00295F0E">
            <w:pPr>
              <w:rPr>
                <w:rFonts w:cs="Arial"/>
              </w:rPr>
            </w:pPr>
            <w:r w:rsidRPr="00681CB8">
              <w:rPr>
                <w:rFonts w:cs="Arial"/>
              </w:rPr>
              <w:t>Others</w:t>
            </w:r>
          </w:p>
        </w:tc>
        <w:tc>
          <w:tcPr>
            <w:tcW w:w="973" w:type="pct"/>
          </w:tcPr>
          <w:p w:rsidR="00422B46" w:rsidRPr="00681CB8" w:rsidRDefault="009800D8">
            <w:pPr>
              <w:autoSpaceDE w:val="0"/>
              <w:autoSpaceDN w:val="0"/>
              <w:jc w:val="right"/>
              <w:rPr>
                <w:rFonts w:eastAsiaTheme="minorHAnsi" w:cs="Arial"/>
                <w:color w:val="000000"/>
              </w:rPr>
            </w:pPr>
            <w:r w:rsidRPr="00681CB8">
              <w:rPr>
                <w:rFonts w:eastAsiaTheme="minorHAnsi" w:cs="Arial"/>
                <w:color w:val="000000"/>
              </w:rPr>
              <w:t>873,195</w:t>
            </w:r>
          </w:p>
        </w:tc>
        <w:tc>
          <w:tcPr>
            <w:tcW w:w="1023" w:type="pct"/>
          </w:tcPr>
          <w:p w:rsidR="00422B46" w:rsidRPr="00681CB8" w:rsidRDefault="009800D8">
            <w:pPr>
              <w:autoSpaceDE w:val="0"/>
              <w:autoSpaceDN w:val="0"/>
              <w:jc w:val="right"/>
              <w:rPr>
                <w:rFonts w:eastAsiaTheme="minorHAnsi" w:cs="Arial"/>
                <w:color w:val="000000"/>
              </w:rPr>
            </w:pPr>
            <w:r w:rsidRPr="00681CB8">
              <w:rPr>
                <w:rFonts w:eastAsiaTheme="minorHAnsi" w:cs="Arial"/>
                <w:color w:val="000000"/>
              </w:rPr>
              <w:t>660,112</w:t>
            </w:r>
          </w:p>
        </w:tc>
        <w:tc>
          <w:tcPr>
            <w:tcW w:w="925" w:type="pct"/>
          </w:tcPr>
          <w:p w:rsidR="00422B46" w:rsidRPr="00681CB8" w:rsidRDefault="009800D8">
            <w:pPr>
              <w:autoSpaceDE w:val="0"/>
              <w:autoSpaceDN w:val="0"/>
              <w:jc w:val="right"/>
              <w:rPr>
                <w:rFonts w:eastAsiaTheme="minorHAnsi" w:cs="Arial"/>
                <w:color w:val="000000"/>
              </w:rPr>
            </w:pPr>
            <w:r w:rsidRPr="00681CB8">
              <w:rPr>
                <w:rFonts w:eastAsiaTheme="minorHAnsi" w:cs="Arial"/>
                <w:color w:val="000000"/>
              </w:rPr>
              <w:t>545,817</w:t>
            </w:r>
          </w:p>
        </w:tc>
      </w:tr>
      <w:tr w:rsidR="00422B46" w:rsidRPr="001B6BF8" w:rsidTr="00527B9F">
        <w:tc>
          <w:tcPr>
            <w:tcW w:w="2079" w:type="pct"/>
            <w:vAlign w:val="bottom"/>
          </w:tcPr>
          <w:p w:rsidR="00422B46" w:rsidRPr="00681CB8" w:rsidRDefault="00DA0B75" w:rsidP="00295F0E">
            <w:pPr>
              <w:rPr>
                <w:rFonts w:cs="Arial"/>
                <w:b/>
              </w:rPr>
            </w:pPr>
            <w:r w:rsidRPr="00681CB8">
              <w:rPr>
                <w:rFonts w:cs="Arial"/>
                <w:b/>
              </w:rPr>
              <w:t>Total</w:t>
            </w:r>
          </w:p>
        </w:tc>
        <w:tc>
          <w:tcPr>
            <w:tcW w:w="973" w:type="pct"/>
          </w:tcPr>
          <w:p w:rsidR="00422B46" w:rsidRPr="00681CB8" w:rsidRDefault="009800D8">
            <w:pPr>
              <w:autoSpaceDE w:val="0"/>
              <w:autoSpaceDN w:val="0"/>
              <w:jc w:val="right"/>
              <w:rPr>
                <w:rFonts w:eastAsiaTheme="minorHAnsi" w:cs="Arial"/>
                <w:b/>
                <w:bCs/>
                <w:color w:val="000000"/>
              </w:rPr>
            </w:pPr>
            <w:r w:rsidRPr="00681CB8">
              <w:rPr>
                <w:rFonts w:eastAsiaTheme="minorHAnsi" w:cs="Arial"/>
                <w:b/>
                <w:bCs/>
                <w:color w:val="000000"/>
              </w:rPr>
              <w:t>2,334,400</w:t>
            </w:r>
          </w:p>
        </w:tc>
        <w:tc>
          <w:tcPr>
            <w:tcW w:w="1023" w:type="pct"/>
          </w:tcPr>
          <w:p w:rsidR="00422B46" w:rsidRPr="00681CB8" w:rsidRDefault="009800D8">
            <w:pPr>
              <w:autoSpaceDE w:val="0"/>
              <w:autoSpaceDN w:val="0"/>
              <w:jc w:val="right"/>
              <w:rPr>
                <w:rFonts w:eastAsiaTheme="minorHAnsi" w:cs="Arial"/>
                <w:b/>
                <w:bCs/>
                <w:color w:val="000000"/>
              </w:rPr>
            </w:pPr>
            <w:r w:rsidRPr="00681CB8">
              <w:rPr>
                <w:rFonts w:eastAsiaTheme="minorHAnsi" w:cs="Arial"/>
                <w:b/>
                <w:bCs/>
                <w:color w:val="000000"/>
              </w:rPr>
              <w:t>2,432,927</w:t>
            </w:r>
          </w:p>
        </w:tc>
        <w:tc>
          <w:tcPr>
            <w:tcW w:w="925" w:type="pct"/>
          </w:tcPr>
          <w:p w:rsidR="00422B46" w:rsidRPr="00681CB8" w:rsidRDefault="009800D8">
            <w:pPr>
              <w:autoSpaceDE w:val="0"/>
              <w:autoSpaceDN w:val="0"/>
              <w:jc w:val="right"/>
              <w:rPr>
                <w:rFonts w:eastAsiaTheme="minorHAnsi" w:cs="Arial"/>
                <w:b/>
                <w:bCs/>
                <w:color w:val="000000"/>
              </w:rPr>
            </w:pPr>
            <w:r w:rsidRPr="00681CB8">
              <w:rPr>
                <w:rFonts w:eastAsiaTheme="minorHAnsi" w:cs="Arial"/>
                <w:b/>
                <w:bCs/>
                <w:color w:val="000000"/>
              </w:rPr>
              <w:t>2,591,753</w:t>
            </w:r>
          </w:p>
        </w:tc>
      </w:tr>
    </w:tbl>
    <w:p w:rsidR="00F834C8" w:rsidRDefault="00F834C8" w:rsidP="00D3689E">
      <w:pPr>
        <w:pStyle w:val="Title"/>
        <w:jc w:val="left"/>
        <w:rPr>
          <w:rFonts w:ascii="Arial" w:hAnsi="Arial" w:cs="Arial"/>
          <w:b w:val="0"/>
          <w:sz w:val="16"/>
          <w:szCs w:val="16"/>
        </w:rPr>
      </w:pPr>
      <w:r>
        <w:rPr>
          <w:rFonts w:ascii="Arial" w:hAnsi="Arial" w:cs="Arial"/>
          <w:b w:val="0"/>
          <w:sz w:val="16"/>
          <w:szCs w:val="16"/>
        </w:rPr>
        <w:t xml:space="preserve">Shipments include </w:t>
      </w:r>
      <w:r w:rsidR="00ED4F30">
        <w:rPr>
          <w:rFonts w:ascii="Arial" w:hAnsi="Arial" w:cs="Arial"/>
          <w:b w:val="0"/>
          <w:sz w:val="16"/>
          <w:szCs w:val="16"/>
        </w:rPr>
        <w:t>mobile phones</w:t>
      </w:r>
      <w:r>
        <w:rPr>
          <w:rFonts w:ascii="Arial" w:hAnsi="Arial" w:cs="Arial"/>
          <w:b w:val="0"/>
          <w:sz w:val="16"/>
          <w:szCs w:val="16"/>
        </w:rPr>
        <w:t>, ultramobiles</w:t>
      </w:r>
      <w:r w:rsidR="00473593">
        <w:rPr>
          <w:rFonts w:ascii="Arial" w:hAnsi="Arial" w:cs="Arial"/>
          <w:b w:val="0"/>
          <w:sz w:val="16"/>
          <w:szCs w:val="16"/>
        </w:rPr>
        <w:t xml:space="preserve"> (including tablets)</w:t>
      </w:r>
      <w:r>
        <w:rPr>
          <w:rFonts w:ascii="Arial" w:hAnsi="Arial" w:cs="Arial"/>
          <w:b w:val="0"/>
          <w:sz w:val="16"/>
          <w:szCs w:val="16"/>
        </w:rPr>
        <w:t xml:space="preserve"> and PCs</w:t>
      </w:r>
    </w:p>
    <w:p w:rsidR="00545EFD" w:rsidRDefault="00BA1B4C" w:rsidP="00D3689E">
      <w:pPr>
        <w:pStyle w:val="Title"/>
        <w:jc w:val="left"/>
        <w:rPr>
          <w:rFonts w:ascii="Arial" w:hAnsi="Arial" w:cs="Arial"/>
          <w:b w:val="0"/>
          <w:sz w:val="16"/>
          <w:szCs w:val="16"/>
        </w:rPr>
      </w:pPr>
      <w:r w:rsidRPr="001B6BF8">
        <w:rPr>
          <w:rFonts w:ascii="Arial" w:hAnsi="Arial" w:cs="Arial"/>
          <w:b w:val="0"/>
          <w:sz w:val="16"/>
          <w:szCs w:val="16"/>
        </w:rPr>
        <w:t>Source: Gartner (</w:t>
      </w:r>
      <w:r w:rsidR="00F42710">
        <w:rPr>
          <w:rFonts w:ascii="Arial" w:hAnsi="Arial" w:cs="Arial"/>
          <w:b w:val="0"/>
          <w:sz w:val="16"/>
          <w:szCs w:val="16"/>
        </w:rPr>
        <w:t>June</w:t>
      </w:r>
      <w:r w:rsidR="00527D77">
        <w:rPr>
          <w:rFonts w:ascii="Arial" w:hAnsi="Arial" w:cs="Arial"/>
          <w:b w:val="0"/>
          <w:sz w:val="16"/>
          <w:szCs w:val="16"/>
        </w:rPr>
        <w:t xml:space="preserve"> 2014</w:t>
      </w:r>
      <w:r w:rsidR="00D3689E" w:rsidRPr="001B6BF8">
        <w:rPr>
          <w:rFonts w:ascii="Arial" w:hAnsi="Arial" w:cs="Arial"/>
          <w:b w:val="0"/>
          <w:sz w:val="16"/>
          <w:szCs w:val="16"/>
        </w:rPr>
        <w:t>)</w:t>
      </w:r>
      <w:r w:rsidR="00EA412E">
        <w:rPr>
          <w:rFonts w:ascii="Arial" w:hAnsi="Arial" w:cs="Arial"/>
          <w:b w:val="0"/>
          <w:sz w:val="16"/>
          <w:szCs w:val="16"/>
        </w:rPr>
        <w:t xml:space="preserve"> </w:t>
      </w:r>
    </w:p>
    <w:p w:rsidR="00EA412E" w:rsidRPr="001B6BF8" w:rsidRDefault="00EA412E" w:rsidP="00D3689E">
      <w:pPr>
        <w:pStyle w:val="Title"/>
        <w:jc w:val="left"/>
        <w:rPr>
          <w:rFonts w:ascii="Arial" w:hAnsi="Arial" w:cs="Arial"/>
          <w:b w:val="0"/>
          <w:sz w:val="16"/>
          <w:szCs w:val="16"/>
        </w:rPr>
      </w:pPr>
    </w:p>
    <w:p w:rsidR="00422EBD" w:rsidRDefault="00545EFD" w:rsidP="00422EBD">
      <w:pPr>
        <w:pStyle w:val="NormalWeb"/>
        <w:spacing w:before="0" w:beforeAutospacing="0" w:after="0" w:afterAutospacing="0"/>
        <w:rPr>
          <w:rFonts w:ascii="Arial" w:hAnsi="Arial" w:cs="Arial"/>
          <w:sz w:val="22"/>
          <w:szCs w:val="22"/>
        </w:rPr>
      </w:pPr>
      <w:r w:rsidRPr="0050021F">
        <w:rPr>
          <w:rFonts w:ascii="Arial" w:hAnsi="Arial" w:cs="Arial"/>
          <w:sz w:val="22"/>
          <w:szCs w:val="22"/>
        </w:rPr>
        <w:t xml:space="preserve">Gartner's </w:t>
      </w:r>
      <w:r w:rsidR="0069470C">
        <w:rPr>
          <w:rFonts w:ascii="Arial" w:hAnsi="Arial" w:cs="Arial"/>
          <w:sz w:val="22"/>
          <w:szCs w:val="22"/>
        </w:rPr>
        <w:t xml:space="preserve">detailed </w:t>
      </w:r>
      <w:r w:rsidRPr="0050021F">
        <w:rPr>
          <w:rFonts w:ascii="Arial" w:hAnsi="Arial" w:cs="Arial"/>
          <w:sz w:val="22"/>
          <w:szCs w:val="22"/>
        </w:rPr>
        <w:t xml:space="preserve">market forecast data is </w:t>
      </w:r>
      <w:r w:rsidR="0069470C">
        <w:rPr>
          <w:rFonts w:ascii="Arial" w:hAnsi="Arial" w:cs="Arial"/>
          <w:sz w:val="22"/>
          <w:szCs w:val="22"/>
        </w:rPr>
        <w:t>available</w:t>
      </w:r>
      <w:r w:rsidR="0069470C" w:rsidRPr="0050021F">
        <w:rPr>
          <w:rFonts w:ascii="Arial" w:hAnsi="Arial" w:cs="Arial"/>
          <w:sz w:val="22"/>
          <w:szCs w:val="22"/>
        </w:rPr>
        <w:t xml:space="preserve"> </w:t>
      </w:r>
      <w:r w:rsidRPr="0050021F">
        <w:rPr>
          <w:rFonts w:ascii="Arial" w:hAnsi="Arial" w:cs="Arial"/>
          <w:sz w:val="22"/>
          <w:szCs w:val="22"/>
        </w:rPr>
        <w:t xml:space="preserve">in </w:t>
      </w:r>
      <w:r w:rsidR="00477A62" w:rsidRPr="0050021F">
        <w:rPr>
          <w:rFonts w:ascii="Arial" w:hAnsi="Arial" w:cs="Arial"/>
          <w:sz w:val="22"/>
          <w:szCs w:val="22"/>
        </w:rPr>
        <w:t>"</w:t>
      </w:r>
      <w:r w:rsidRPr="0050021F">
        <w:rPr>
          <w:rFonts w:ascii="Arial" w:hAnsi="Arial" w:cs="Arial"/>
          <w:sz w:val="22"/>
          <w:szCs w:val="22"/>
        </w:rPr>
        <w:t>Forecast:</w:t>
      </w:r>
      <w:r w:rsidR="0092555D" w:rsidRPr="0050021F">
        <w:rPr>
          <w:rFonts w:ascii="Arial" w:hAnsi="Arial" w:cs="Arial"/>
          <w:sz w:val="22"/>
          <w:szCs w:val="22"/>
        </w:rPr>
        <w:t xml:space="preserve"> PCs, Ultramobiles, and Mobile P</w:t>
      </w:r>
      <w:r w:rsidRPr="0050021F">
        <w:rPr>
          <w:rFonts w:ascii="Arial" w:hAnsi="Arial" w:cs="Arial"/>
          <w:sz w:val="22"/>
          <w:szCs w:val="22"/>
        </w:rPr>
        <w:t>hones, Wo</w:t>
      </w:r>
      <w:r w:rsidR="000C510F" w:rsidRPr="0050021F">
        <w:rPr>
          <w:rFonts w:ascii="Arial" w:hAnsi="Arial" w:cs="Arial"/>
          <w:sz w:val="22"/>
          <w:szCs w:val="22"/>
        </w:rPr>
        <w:t>rldwide, 2011-2018</w:t>
      </w:r>
      <w:r w:rsidR="00F42710" w:rsidRPr="0050021F">
        <w:rPr>
          <w:rFonts w:ascii="Arial" w:hAnsi="Arial" w:cs="Arial"/>
          <w:sz w:val="22"/>
          <w:szCs w:val="22"/>
        </w:rPr>
        <w:t>, 2</w:t>
      </w:r>
      <w:r w:rsidR="00CB29CA" w:rsidRPr="0050021F">
        <w:rPr>
          <w:rFonts w:ascii="Arial" w:hAnsi="Arial" w:cs="Arial"/>
          <w:sz w:val="22"/>
          <w:szCs w:val="22"/>
        </w:rPr>
        <w:t>Q14</w:t>
      </w:r>
      <w:r w:rsidR="007A39C2" w:rsidRPr="0050021F">
        <w:rPr>
          <w:rFonts w:ascii="Arial" w:hAnsi="Arial" w:cs="Arial"/>
          <w:sz w:val="22"/>
          <w:szCs w:val="22"/>
        </w:rPr>
        <w:t xml:space="preserve"> Update</w:t>
      </w:r>
      <w:r w:rsidR="00477A62" w:rsidRPr="0050021F">
        <w:rPr>
          <w:rFonts w:ascii="Arial" w:hAnsi="Arial" w:cs="Arial"/>
          <w:sz w:val="22"/>
          <w:szCs w:val="22"/>
        </w:rPr>
        <w:t>"</w:t>
      </w:r>
      <w:r w:rsidRPr="0050021F">
        <w:rPr>
          <w:rFonts w:ascii="Arial" w:hAnsi="Arial" w:cs="Arial"/>
          <w:sz w:val="22"/>
          <w:szCs w:val="22"/>
        </w:rPr>
        <w:t xml:space="preserve"> </w:t>
      </w:r>
      <w:r w:rsidR="0092555D" w:rsidRPr="0050021F">
        <w:rPr>
          <w:rFonts w:ascii="Arial" w:hAnsi="Arial" w:cs="Arial"/>
          <w:sz w:val="22"/>
          <w:szCs w:val="22"/>
        </w:rPr>
        <w:t xml:space="preserve">and </w:t>
      </w:r>
      <w:r w:rsidR="00D3689E" w:rsidRPr="0050021F">
        <w:rPr>
          <w:rFonts w:ascii="Arial" w:hAnsi="Arial" w:cs="Arial"/>
          <w:sz w:val="22"/>
          <w:szCs w:val="22"/>
        </w:rPr>
        <w:t>on Gartner</w:t>
      </w:r>
      <w:r w:rsidR="00BA7CF4" w:rsidRPr="0050021F">
        <w:rPr>
          <w:rFonts w:ascii="Arial" w:hAnsi="Arial" w:cs="Arial"/>
          <w:sz w:val="22"/>
          <w:szCs w:val="22"/>
        </w:rPr>
        <w:t>'</w:t>
      </w:r>
      <w:r w:rsidR="00B7473C" w:rsidRPr="0050021F">
        <w:rPr>
          <w:rFonts w:ascii="Arial" w:hAnsi="Arial" w:cs="Arial"/>
          <w:sz w:val="22"/>
          <w:szCs w:val="22"/>
        </w:rPr>
        <w:t>s</w:t>
      </w:r>
      <w:r w:rsidR="0092555D" w:rsidRPr="0050021F">
        <w:rPr>
          <w:rFonts w:ascii="Arial" w:hAnsi="Arial" w:cs="Arial"/>
          <w:sz w:val="22"/>
          <w:szCs w:val="22"/>
        </w:rPr>
        <w:t xml:space="preserve"> </w:t>
      </w:r>
      <w:r w:rsidR="00D3689E" w:rsidRPr="0050021F">
        <w:rPr>
          <w:rFonts w:ascii="Arial" w:hAnsi="Arial" w:cs="Arial"/>
          <w:sz w:val="22"/>
          <w:szCs w:val="22"/>
        </w:rPr>
        <w:t>web</w:t>
      </w:r>
      <w:r w:rsidR="00374AD7" w:rsidRPr="0050021F">
        <w:rPr>
          <w:rFonts w:ascii="Arial" w:hAnsi="Arial" w:cs="Arial"/>
          <w:sz w:val="22"/>
          <w:szCs w:val="22"/>
        </w:rPr>
        <w:t xml:space="preserve"> </w:t>
      </w:r>
      <w:r w:rsidR="00D3689E" w:rsidRPr="0050021F">
        <w:rPr>
          <w:rFonts w:ascii="Arial" w:hAnsi="Arial" w:cs="Arial"/>
          <w:sz w:val="22"/>
          <w:szCs w:val="22"/>
        </w:rPr>
        <w:t>site at</w:t>
      </w:r>
      <w:r w:rsidRPr="0050021F">
        <w:rPr>
          <w:rFonts w:ascii="Arial" w:hAnsi="Arial" w:cs="Arial"/>
          <w:sz w:val="22"/>
          <w:szCs w:val="22"/>
        </w:rPr>
        <w:t xml:space="preserve"> </w:t>
      </w:r>
      <w:hyperlink r:id="rId10" w:history="1">
        <w:r w:rsidR="00431502" w:rsidRPr="00183973">
          <w:rPr>
            <w:rStyle w:val="Hyperlink"/>
            <w:rFonts w:ascii="Arial" w:hAnsi="Arial" w:cs="Arial"/>
            <w:sz w:val="22"/>
            <w:szCs w:val="22"/>
          </w:rPr>
          <w:t>http://www.gartner.com/document/2780117</w:t>
        </w:r>
      </w:hyperlink>
      <w:r w:rsidR="00431502">
        <w:rPr>
          <w:rFonts w:ascii="Arial" w:hAnsi="Arial" w:cs="Arial"/>
          <w:sz w:val="22"/>
          <w:szCs w:val="22"/>
        </w:rPr>
        <w:t>.</w:t>
      </w:r>
    </w:p>
    <w:p w:rsidR="000C510F" w:rsidRPr="001B6BF8" w:rsidRDefault="000C510F" w:rsidP="00422EBD">
      <w:pPr>
        <w:pStyle w:val="NormalWeb"/>
        <w:spacing w:before="0" w:beforeAutospacing="0" w:after="0" w:afterAutospacing="0"/>
        <w:rPr>
          <w:rFonts w:ascii="Arial" w:hAnsi="Arial" w:cs="Arial"/>
          <w:sz w:val="22"/>
          <w:szCs w:val="22"/>
        </w:rPr>
      </w:pPr>
    </w:p>
    <w:p w:rsidR="00F374A7" w:rsidRPr="0015025D" w:rsidRDefault="00F374A7" w:rsidP="00F374A7">
      <w:pPr>
        <w:jc w:val="left"/>
        <w:rPr>
          <w:rFonts w:cs="Arial"/>
          <w:sz w:val="22"/>
          <w:szCs w:val="22"/>
        </w:rPr>
      </w:pPr>
      <w:r w:rsidRPr="0015025D">
        <w:rPr>
          <w:rFonts w:cs="Arial"/>
          <w:b/>
          <w:bCs/>
          <w:sz w:val="22"/>
          <w:szCs w:val="22"/>
        </w:rPr>
        <w:t>About Gartner</w:t>
      </w:r>
    </w:p>
    <w:p w:rsidR="00F374A7" w:rsidRPr="004C127A" w:rsidRDefault="00F374A7" w:rsidP="00F374A7">
      <w:pPr>
        <w:jc w:val="left"/>
        <w:rPr>
          <w:rFonts w:cs="Arial"/>
          <w:sz w:val="22"/>
          <w:szCs w:val="22"/>
        </w:rPr>
      </w:pPr>
      <w:r w:rsidRPr="0015025D">
        <w:rPr>
          <w:rFonts w:cs="Arial"/>
          <w:sz w:val="22"/>
          <w:szCs w:val="22"/>
        </w:rPr>
        <w:t>Gartner, Inc. (NYSE: IT) is the world</w:t>
      </w:r>
      <w:r>
        <w:rPr>
          <w:rFonts w:cs="Arial"/>
          <w:sz w:val="22"/>
          <w:szCs w:val="22"/>
        </w:rPr>
        <w:t>'</w:t>
      </w:r>
      <w:r w:rsidRPr="0015025D">
        <w:rPr>
          <w:rFonts w:cs="Arial"/>
          <w:sz w:val="22"/>
          <w:szCs w:val="22"/>
        </w:rPr>
        <w:t xml:space="preserve">s leading information technology research and advisory company. Gartner delivers the technology-related insight necessary for its clients to make the right decisions, every day. From CIOs and senior IT leaders in corporations and government agencies, to business leaders in high-tech and telecom enterprises and professional services firms, to technology investors, Gartner is a valuable partner in more than 14,000 distinct organizations. Through the resources of Gartner Research, Gartner Executive Programs, Gartner Consulting and Gartner Events, Gartner works with every client to research, analyze and interpret the business of IT within the context of their individual role. Founded in 1979, Gartner is headquartered in Stamford, Connecticut, USA, and has 6,100 associates, including more than 1,460 research analysts and consultants, and clients in 85 countries. For more information, visit </w:t>
      </w:r>
      <w:hyperlink r:id="rId11" w:history="1">
        <w:r w:rsidRPr="0015025D">
          <w:rPr>
            <w:rStyle w:val="Hyperlink"/>
            <w:rFonts w:cs="Arial"/>
            <w:sz w:val="22"/>
            <w:szCs w:val="22"/>
          </w:rPr>
          <w:t>www.gartner.com</w:t>
        </w:r>
      </w:hyperlink>
      <w:r w:rsidRPr="0015025D">
        <w:rPr>
          <w:rFonts w:cs="Arial"/>
          <w:sz w:val="22"/>
          <w:szCs w:val="22"/>
        </w:rPr>
        <w:t>.</w:t>
      </w:r>
    </w:p>
    <w:p w:rsidR="00F374A7" w:rsidRPr="00A9651E" w:rsidRDefault="00F374A7" w:rsidP="00F374A7">
      <w:pPr>
        <w:pStyle w:val="NormalWeb"/>
        <w:spacing w:before="0" w:beforeAutospacing="0" w:after="0" w:afterAutospacing="0"/>
        <w:jc w:val="center"/>
        <w:rPr>
          <w:rFonts w:ascii="Arial" w:hAnsi="Arial" w:cs="Arial"/>
          <w:sz w:val="22"/>
          <w:szCs w:val="22"/>
        </w:rPr>
      </w:pPr>
      <w:r w:rsidRPr="00A9651E">
        <w:rPr>
          <w:rFonts w:ascii="Arial" w:hAnsi="Arial" w:cs="Arial"/>
          <w:sz w:val="22"/>
          <w:szCs w:val="22"/>
        </w:rPr>
        <w:t># # #</w:t>
      </w:r>
    </w:p>
    <w:p w:rsidR="00F374A7" w:rsidRPr="001B6BF8" w:rsidRDefault="00F374A7" w:rsidP="00A425B2">
      <w:pPr>
        <w:autoSpaceDE w:val="0"/>
        <w:autoSpaceDN w:val="0"/>
        <w:rPr>
          <w:rFonts w:cs="Arial"/>
          <w:b/>
          <w:bCs/>
          <w:sz w:val="22"/>
          <w:szCs w:val="22"/>
        </w:rPr>
      </w:pPr>
    </w:p>
    <w:sectPr w:rsidR="00F374A7" w:rsidRPr="001B6BF8" w:rsidSect="00D55524">
      <w:footerReference w:type="default" r:id="rId12"/>
      <w:headerReference w:type="first" r:id="rId13"/>
      <w:footerReference w:type="first" r:id="rId14"/>
      <w:pgSz w:w="12240" w:h="15840" w:code="1"/>
      <w:pgMar w:top="562" w:right="850" w:bottom="850" w:left="1008" w:header="850" w:footer="56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0A64" w:rsidRDefault="00410A64" w:rsidP="00DD6EAC">
      <w:r>
        <w:separator/>
      </w:r>
    </w:p>
  </w:endnote>
  <w:endnote w:type="continuationSeparator" w:id="0">
    <w:p w:rsidR="00410A64" w:rsidRDefault="00410A64" w:rsidP="00DD6E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B26" w:rsidRDefault="00634B26">
    <w:pPr>
      <w:jc w:val="center"/>
    </w:pPr>
  </w:p>
  <w:tbl>
    <w:tblPr>
      <w:tblW w:w="0" w:type="auto"/>
      <w:tblInd w:w="108" w:type="dxa"/>
      <w:tblBorders>
        <w:top w:val="single" w:sz="6" w:space="0" w:color="auto"/>
        <w:right w:val="single" w:sz="6" w:space="0" w:color="auto"/>
        <w:insideV w:val="single" w:sz="6" w:space="0" w:color="auto"/>
      </w:tblBorders>
      <w:tblLayout w:type="fixed"/>
      <w:tblLook w:val="0000"/>
    </w:tblPr>
    <w:tblGrid>
      <w:gridCol w:w="6991"/>
      <w:gridCol w:w="3449"/>
    </w:tblGrid>
    <w:tr w:rsidR="00634B26">
      <w:tc>
        <w:tcPr>
          <w:tcW w:w="6991" w:type="dxa"/>
          <w:tcBorders>
            <w:top w:val="single" w:sz="6" w:space="0" w:color="auto"/>
          </w:tcBorders>
        </w:tcPr>
        <w:p w:rsidR="00634B26" w:rsidRDefault="00634B26">
          <w:pPr>
            <w:pStyle w:val="xFtrLogo"/>
            <w:rPr>
              <w:b/>
            </w:rPr>
          </w:pPr>
          <w:r>
            <w:rPr>
              <w:b/>
            </w:rPr>
            <w:t xml:space="preserve">Gartner, Inc. </w:t>
          </w:r>
        </w:p>
      </w:tc>
      <w:tc>
        <w:tcPr>
          <w:tcW w:w="3449" w:type="dxa"/>
          <w:tcBorders>
            <w:top w:val="single" w:sz="6" w:space="0" w:color="auto"/>
          </w:tcBorders>
        </w:tcPr>
        <w:p w:rsidR="00634B26" w:rsidRDefault="00634B26">
          <w:pPr>
            <w:pStyle w:val="Footer"/>
            <w:spacing w:before="60"/>
            <w:ind w:left="144"/>
            <w:jc w:val="right"/>
          </w:pPr>
          <w:r>
            <w:t xml:space="preserve">page </w:t>
          </w:r>
          <w:r w:rsidR="00D23D5D">
            <w:rPr>
              <w:rStyle w:val="PageNumber"/>
            </w:rPr>
            <w:fldChar w:fldCharType="begin"/>
          </w:r>
          <w:r>
            <w:rPr>
              <w:rStyle w:val="PageNumber"/>
            </w:rPr>
            <w:instrText xml:space="preserve"> PAGE </w:instrText>
          </w:r>
          <w:r w:rsidR="00D23D5D">
            <w:rPr>
              <w:rStyle w:val="PageNumber"/>
            </w:rPr>
            <w:fldChar w:fldCharType="separate"/>
          </w:r>
          <w:r w:rsidR="004E665C">
            <w:rPr>
              <w:rStyle w:val="PageNumber"/>
              <w:noProof/>
            </w:rPr>
            <w:t>2</w:t>
          </w:r>
          <w:r w:rsidR="00D23D5D">
            <w:rPr>
              <w:rStyle w:val="PageNumber"/>
            </w:rPr>
            <w:fldChar w:fldCharType="end"/>
          </w:r>
        </w:p>
      </w:tc>
    </w:tr>
  </w:tbl>
  <w:p w:rsidR="00634B26" w:rsidRDefault="00634B26">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B26" w:rsidRDefault="00D23D5D">
    <w:pPr>
      <w:jc w:val="center"/>
    </w:pPr>
    <w:r>
      <w:fldChar w:fldCharType="begin"/>
    </w:r>
    <w:r w:rsidR="00634B26">
      <w:instrText xml:space="preserve"> if </w:instrText>
    </w:r>
    <w:r>
      <w:fldChar w:fldCharType="begin"/>
    </w:r>
    <w:r w:rsidR="00634B26">
      <w:instrText xml:space="preserve"> page </w:instrText>
    </w:r>
    <w:r>
      <w:fldChar w:fldCharType="separate"/>
    </w:r>
    <w:r w:rsidR="004E665C">
      <w:rPr>
        <w:noProof/>
      </w:rPr>
      <w:instrText>1</w:instrText>
    </w:r>
    <w:r>
      <w:rPr>
        <w:noProof/>
      </w:rPr>
      <w:fldChar w:fldCharType="end"/>
    </w:r>
    <w:r w:rsidR="00634B26">
      <w:instrText xml:space="preserve"> = </w:instrText>
    </w:r>
    <w:r>
      <w:fldChar w:fldCharType="begin"/>
    </w:r>
    <w:r w:rsidR="002D79BC">
      <w:instrText xml:space="preserve"> numpages </w:instrText>
    </w:r>
    <w:r>
      <w:fldChar w:fldCharType="separate"/>
    </w:r>
    <w:r w:rsidR="004E665C">
      <w:rPr>
        <w:noProof/>
      </w:rPr>
      <w:instrText>2</w:instrText>
    </w:r>
    <w:r>
      <w:rPr>
        <w:noProof/>
      </w:rPr>
      <w:fldChar w:fldCharType="end"/>
    </w:r>
    <w:r w:rsidR="00634B26">
      <w:instrText xml:space="preserve"> "" "-more-" </w:instrText>
    </w:r>
    <w:r w:rsidR="004E665C">
      <w:fldChar w:fldCharType="separate"/>
    </w:r>
    <w:r w:rsidR="004E665C">
      <w:rPr>
        <w:noProof/>
      </w:rPr>
      <w:t>-more-</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0A64" w:rsidRDefault="00410A64" w:rsidP="00DD6EAC">
      <w:r>
        <w:separator/>
      </w:r>
    </w:p>
  </w:footnote>
  <w:footnote w:type="continuationSeparator" w:id="0">
    <w:p w:rsidR="00410A64" w:rsidRDefault="00410A64" w:rsidP="00DD6E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2610"/>
      <w:gridCol w:w="900"/>
      <w:gridCol w:w="165"/>
      <w:gridCol w:w="6675"/>
      <w:gridCol w:w="27"/>
    </w:tblGrid>
    <w:tr w:rsidR="00634B26" w:rsidRPr="00A9651E" w:rsidTr="00B6734B">
      <w:trPr>
        <w:gridAfter w:val="1"/>
        <w:wAfter w:w="27" w:type="dxa"/>
        <w:cantSplit/>
        <w:trHeight w:hRule="exact" w:val="900"/>
      </w:trPr>
      <w:tc>
        <w:tcPr>
          <w:tcW w:w="2610" w:type="dxa"/>
        </w:tcPr>
        <w:p w:rsidR="00634B26" w:rsidRPr="00A9651E" w:rsidRDefault="00634B26" w:rsidP="00B6734B">
          <w:pPr>
            <w:pStyle w:val="xHdrLogo"/>
          </w:pPr>
          <w:r>
            <w:rPr>
              <w:noProof/>
              <w:lang w:val="en-GB" w:eastAsia="en-GB"/>
            </w:rPr>
            <w:drawing>
              <wp:inline distT="0" distB="0" distL="0" distR="0">
                <wp:extent cx="1647825" cy="409575"/>
                <wp:effectExtent l="19050" t="0" r="9525" b="0"/>
                <wp:docPr id="2" name="Picture 1" descr="GGlogotagmark_100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logotagmark_100k"/>
                        <pic:cNvPicPr>
                          <a:picLocks noChangeAspect="1" noChangeArrowheads="1"/>
                        </pic:cNvPicPr>
                      </pic:nvPicPr>
                      <pic:blipFill>
                        <a:blip r:embed="rId1"/>
                        <a:srcRect/>
                        <a:stretch>
                          <a:fillRect/>
                        </a:stretch>
                      </pic:blipFill>
                      <pic:spPr bwMode="auto">
                        <a:xfrm>
                          <a:off x="0" y="0"/>
                          <a:ext cx="1647825" cy="409575"/>
                        </a:xfrm>
                        <a:prstGeom prst="rect">
                          <a:avLst/>
                        </a:prstGeom>
                        <a:noFill/>
                        <a:ln w="9525">
                          <a:noFill/>
                          <a:miter lim="800000"/>
                          <a:headEnd/>
                          <a:tailEnd/>
                        </a:ln>
                      </pic:spPr>
                    </pic:pic>
                  </a:graphicData>
                </a:graphic>
              </wp:inline>
            </w:drawing>
          </w:r>
        </w:p>
      </w:tc>
      <w:tc>
        <w:tcPr>
          <w:tcW w:w="900" w:type="dxa"/>
        </w:tcPr>
        <w:p w:rsidR="00634B26" w:rsidRPr="00A9651E" w:rsidRDefault="00634B26" w:rsidP="00B6734B"/>
      </w:tc>
      <w:tc>
        <w:tcPr>
          <w:tcW w:w="165" w:type="dxa"/>
          <w:tcBorders>
            <w:bottom w:val="single" w:sz="6" w:space="0" w:color="auto"/>
            <w:right w:val="single" w:sz="6" w:space="0" w:color="auto"/>
          </w:tcBorders>
        </w:tcPr>
        <w:p w:rsidR="00634B26" w:rsidRPr="00A9651E" w:rsidRDefault="00634B26" w:rsidP="00B6734B"/>
      </w:tc>
      <w:tc>
        <w:tcPr>
          <w:tcW w:w="6675" w:type="dxa"/>
          <w:tcBorders>
            <w:left w:val="single" w:sz="6" w:space="0" w:color="auto"/>
          </w:tcBorders>
        </w:tcPr>
        <w:p w:rsidR="00634B26" w:rsidRPr="00A9651E" w:rsidRDefault="00F42710" w:rsidP="00B6734B">
          <w:pPr>
            <w:pStyle w:val="xHdrServiceName"/>
          </w:pPr>
          <w:r>
            <w:rPr>
              <w:sz w:val="72"/>
            </w:rPr>
            <w:t>PRESS RELEASE</w:t>
          </w:r>
        </w:p>
      </w:tc>
    </w:tr>
    <w:tr w:rsidR="00634B26" w:rsidTr="00E178CC">
      <w:trPr>
        <w:gridAfter w:val="1"/>
        <w:wAfter w:w="27" w:type="dxa"/>
        <w:cantSplit/>
        <w:trHeight w:hRule="exact" w:val="95"/>
      </w:trPr>
      <w:tc>
        <w:tcPr>
          <w:tcW w:w="2610" w:type="dxa"/>
        </w:tcPr>
        <w:p w:rsidR="00634B26" w:rsidRDefault="00634B26">
          <w:pPr>
            <w:pStyle w:val="xHdrLogo"/>
          </w:pPr>
        </w:p>
      </w:tc>
      <w:tc>
        <w:tcPr>
          <w:tcW w:w="900" w:type="dxa"/>
        </w:tcPr>
        <w:p w:rsidR="00634B26" w:rsidRDefault="00634B26"/>
      </w:tc>
      <w:tc>
        <w:tcPr>
          <w:tcW w:w="165" w:type="dxa"/>
          <w:tcBorders>
            <w:bottom w:val="single" w:sz="6" w:space="0" w:color="auto"/>
            <w:right w:val="single" w:sz="6" w:space="0" w:color="auto"/>
          </w:tcBorders>
        </w:tcPr>
        <w:p w:rsidR="00634B26" w:rsidRDefault="00634B26"/>
      </w:tc>
      <w:tc>
        <w:tcPr>
          <w:tcW w:w="6675" w:type="dxa"/>
          <w:tcBorders>
            <w:left w:val="single" w:sz="6" w:space="0" w:color="auto"/>
          </w:tcBorders>
        </w:tcPr>
        <w:p w:rsidR="00634B26" w:rsidRDefault="00634B26">
          <w:pPr>
            <w:pStyle w:val="xHdrServiceName"/>
          </w:pPr>
        </w:p>
      </w:tc>
    </w:tr>
    <w:tr w:rsidR="00634B26">
      <w:trPr>
        <w:cantSplit/>
      </w:trPr>
      <w:tc>
        <w:tcPr>
          <w:tcW w:w="3510" w:type="dxa"/>
          <w:gridSpan w:val="2"/>
        </w:tcPr>
        <w:p w:rsidR="00634B26" w:rsidRDefault="00634B26">
          <w:pPr>
            <w:spacing w:before="60" w:after="60"/>
            <w:ind w:left="1080"/>
          </w:pPr>
        </w:p>
      </w:tc>
      <w:tc>
        <w:tcPr>
          <w:tcW w:w="165" w:type="dxa"/>
        </w:tcPr>
        <w:p w:rsidR="00634B26" w:rsidRDefault="00634B26">
          <w:pPr>
            <w:spacing w:before="60" w:after="60"/>
            <w:ind w:left="1080"/>
            <w:rPr>
              <w:b/>
            </w:rPr>
          </w:pPr>
        </w:p>
      </w:tc>
      <w:tc>
        <w:tcPr>
          <w:tcW w:w="6702" w:type="dxa"/>
          <w:gridSpan w:val="2"/>
        </w:tcPr>
        <w:p w:rsidR="00634B26" w:rsidRDefault="00634B26"/>
      </w:tc>
    </w:tr>
  </w:tbl>
  <w:p w:rsidR="00634B26" w:rsidRDefault="00634B2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F5C335E"/>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2B5E63"/>
    <w:rsid w:val="00002012"/>
    <w:rsid w:val="00003F58"/>
    <w:rsid w:val="00005176"/>
    <w:rsid w:val="00010869"/>
    <w:rsid w:val="000120D6"/>
    <w:rsid w:val="00016C18"/>
    <w:rsid w:val="000348F2"/>
    <w:rsid w:val="0003539D"/>
    <w:rsid w:val="00040333"/>
    <w:rsid w:val="000515C5"/>
    <w:rsid w:val="00051B50"/>
    <w:rsid w:val="00060682"/>
    <w:rsid w:val="000702B0"/>
    <w:rsid w:val="00074E5B"/>
    <w:rsid w:val="00092D00"/>
    <w:rsid w:val="00093DD7"/>
    <w:rsid w:val="000956B3"/>
    <w:rsid w:val="000A1DCD"/>
    <w:rsid w:val="000B6C9C"/>
    <w:rsid w:val="000B7A41"/>
    <w:rsid w:val="000C510F"/>
    <w:rsid w:val="000D0D47"/>
    <w:rsid w:val="000F5B21"/>
    <w:rsid w:val="000F6DB8"/>
    <w:rsid w:val="00107319"/>
    <w:rsid w:val="00107763"/>
    <w:rsid w:val="00120214"/>
    <w:rsid w:val="00125F4A"/>
    <w:rsid w:val="001309AB"/>
    <w:rsid w:val="00130DE9"/>
    <w:rsid w:val="001315A4"/>
    <w:rsid w:val="00132D00"/>
    <w:rsid w:val="001445DF"/>
    <w:rsid w:val="00150265"/>
    <w:rsid w:val="0015110C"/>
    <w:rsid w:val="00152BB8"/>
    <w:rsid w:val="0015448C"/>
    <w:rsid w:val="00173D02"/>
    <w:rsid w:val="00174C0C"/>
    <w:rsid w:val="00175A52"/>
    <w:rsid w:val="0017757E"/>
    <w:rsid w:val="00182956"/>
    <w:rsid w:val="00186630"/>
    <w:rsid w:val="00186B0D"/>
    <w:rsid w:val="001937E2"/>
    <w:rsid w:val="001950FD"/>
    <w:rsid w:val="00196B41"/>
    <w:rsid w:val="00197A31"/>
    <w:rsid w:val="001A211E"/>
    <w:rsid w:val="001A2783"/>
    <w:rsid w:val="001A3388"/>
    <w:rsid w:val="001A6754"/>
    <w:rsid w:val="001A7E1B"/>
    <w:rsid w:val="001B6BF8"/>
    <w:rsid w:val="001B7504"/>
    <w:rsid w:val="001C2091"/>
    <w:rsid w:val="001C442A"/>
    <w:rsid w:val="001C4FF4"/>
    <w:rsid w:val="001D04F1"/>
    <w:rsid w:val="001D1F63"/>
    <w:rsid w:val="001D51F5"/>
    <w:rsid w:val="001F2C76"/>
    <w:rsid w:val="001F5D32"/>
    <w:rsid w:val="0020458D"/>
    <w:rsid w:val="002119C8"/>
    <w:rsid w:val="002223A2"/>
    <w:rsid w:val="002239C4"/>
    <w:rsid w:val="002321B8"/>
    <w:rsid w:val="00236F9A"/>
    <w:rsid w:val="00242BD5"/>
    <w:rsid w:val="00245BCC"/>
    <w:rsid w:val="002517EE"/>
    <w:rsid w:val="002642C3"/>
    <w:rsid w:val="002656E1"/>
    <w:rsid w:val="0026754F"/>
    <w:rsid w:val="002712EA"/>
    <w:rsid w:val="00273A63"/>
    <w:rsid w:val="00274D6C"/>
    <w:rsid w:val="00275059"/>
    <w:rsid w:val="00277E55"/>
    <w:rsid w:val="00283130"/>
    <w:rsid w:val="00283808"/>
    <w:rsid w:val="0028530A"/>
    <w:rsid w:val="002A0A08"/>
    <w:rsid w:val="002A1A12"/>
    <w:rsid w:val="002A475E"/>
    <w:rsid w:val="002A7625"/>
    <w:rsid w:val="002B5E63"/>
    <w:rsid w:val="002C0DDF"/>
    <w:rsid w:val="002C26E7"/>
    <w:rsid w:val="002C74F6"/>
    <w:rsid w:val="002D04E2"/>
    <w:rsid w:val="002D1FFC"/>
    <w:rsid w:val="002D405B"/>
    <w:rsid w:val="002D79BC"/>
    <w:rsid w:val="002E1102"/>
    <w:rsid w:val="002E595F"/>
    <w:rsid w:val="002F76D1"/>
    <w:rsid w:val="002F7BD2"/>
    <w:rsid w:val="00304BD9"/>
    <w:rsid w:val="00305001"/>
    <w:rsid w:val="00315CCB"/>
    <w:rsid w:val="00320F17"/>
    <w:rsid w:val="003324A7"/>
    <w:rsid w:val="00333F19"/>
    <w:rsid w:val="00334814"/>
    <w:rsid w:val="00336DA4"/>
    <w:rsid w:val="00343CE7"/>
    <w:rsid w:val="00344542"/>
    <w:rsid w:val="00350E7A"/>
    <w:rsid w:val="00361696"/>
    <w:rsid w:val="0036565F"/>
    <w:rsid w:val="003716AF"/>
    <w:rsid w:val="00374AD7"/>
    <w:rsid w:val="00375DB9"/>
    <w:rsid w:val="003772F0"/>
    <w:rsid w:val="0038495E"/>
    <w:rsid w:val="00385A5A"/>
    <w:rsid w:val="00394CAD"/>
    <w:rsid w:val="003A1271"/>
    <w:rsid w:val="003A131F"/>
    <w:rsid w:val="003A6EE5"/>
    <w:rsid w:val="003A7A9F"/>
    <w:rsid w:val="003B67BA"/>
    <w:rsid w:val="003C06EB"/>
    <w:rsid w:val="003C129E"/>
    <w:rsid w:val="003C151C"/>
    <w:rsid w:val="003C5847"/>
    <w:rsid w:val="003C7FE4"/>
    <w:rsid w:val="003D2623"/>
    <w:rsid w:val="003D3C04"/>
    <w:rsid w:val="003E0889"/>
    <w:rsid w:val="003E188C"/>
    <w:rsid w:val="003E6A4E"/>
    <w:rsid w:val="003F07BC"/>
    <w:rsid w:val="003F377E"/>
    <w:rsid w:val="00400EF0"/>
    <w:rsid w:val="00410A64"/>
    <w:rsid w:val="00411FE1"/>
    <w:rsid w:val="00414861"/>
    <w:rsid w:val="00414A42"/>
    <w:rsid w:val="00420530"/>
    <w:rsid w:val="00422B46"/>
    <w:rsid w:val="00422EBD"/>
    <w:rsid w:val="00431502"/>
    <w:rsid w:val="004346A3"/>
    <w:rsid w:val="00443B87"/>
    <w:rsid w:val="0044747E"/>
    <w:rsid w:val="00457590"/>
    <w:rsid w:val="00462405"/>
    <w:rsid w:val="0046346F"/>
    <w:rsid w:val="004636D8"/>
    <w:rsid w:val="00465145"/>
    <w:rsid w:val="00472645"/>
    <w:rsid w:val="0047343C"/>
    <w:rsid w:val="00473593"/>
    <w:rsid w:val="0047462B"/>
    <w:rsid w:val="00477A62"/>
    <w:rsid w:val="00481246"/>
    <w:rsid w:val="00482F37"/>
    <w:rsid w:val="004B042A"/>
    <w:rsid w:val="004B1316"/>
    <w:rsid w:val="004B23D2"/>
    <w:rsid w:val="004B35BF"/>
    <w:rsid w:val="004C53EC"/>
    <w:rsid w:val="004C6E8B"/>
    <w:rsid w:val="004D17DF"/>
    <w:rsid w:val="004D1CB0"/>
    <w:rsid w:val="004D2D32"/>
    <w:rsid w:val="004D6CFA"/>
    <w:rsid w:val="004E5FC2"/>
    <w:rsid w:val="004E665C"/>
    <w:rsid w:val="004F1DE9"/>
    <w:rsid w:val="0050021F"/>
    <w:rsid w:val="0050026A"/>
    <w:rsid w:val="00505ADF"/>
    <w:rsid w:val="00520E07"/>
    <w:rsid w:val="00527B9F"/>
    <w:rsid w:val="00527C35"/>
    <w:rsid w:val="00527D77"/>
    <w:rsid w:val="00545EFD"/>
    <w:rsid w:val="00550E08"/>
    <w:rsid w:val="00551CB9"/>
    <w:rsid w:val="00554BE6"/>
    <w:rsid w:val="00562EE5"/>
    <w:rsid w:val="0056566D"/>
    <w:rsid w:val="00571011"/>
    <w:rsid w:val="00571BF6"/>
    <w:rsid w:val="005750C0"/>
    <w:rsid w:val="00582673"/>
    <w:rsid w:val="005877DA"/>
    <w:rsid w:val="00591FB0"/>
    <w:rsid w:val="00595F5B"/>
    <w:rsid w:val="005A75BC"/>
    <w:rsid w:val="005C3C51"/>
    <w:rsid w:val="005D2E24"/>
    <w:rsid w:val="005D4B8D"/>
    <w:rsid w:val="005D6763"/>
    <w:rsid w:val="005D78FC"/>
    <w:rsid w:val="005E10D8"/>
    <w:rsid w:val="005E2E42"/>
    <w:rsid w:val="005E44D6"/>
    <w:rsid w:val="005F1EEF"/>
    <w:rsid w:val="005F42E1"/>
    <w:rsid w:val="005F5024"/>
    <w:rsid w:val="00604314"/>
    <w:rsid w:val="00612646"/>
    <w:rsid w:val="00627CEE"/>
    <w:rsid w:val="00634B26"/>
    <w:rsid w:val="00654EB2"/>
    <w:rsid w:val="00656F6F"/>
    <w:rsid w:val="00661F3B"/>
    <w:rsid w:val="00667B3E"/>
    <w:rsid w:val="00673AF6"/>
    <w:rsid w:val="00681CB8"/>
    <w:rsid w:val="00684610"/>
    <w:rsid w:val="00686284"/>
    <w:rsid w:val="006946CD"/>
    <w:rsid w:val="0069470C"/>
    <w:rsid w:val="006976AA"/>
    <w:rsid w:val="006B0CF1"/>
    <w:rsid w:val="006B2FD3"/>
    <w:rsid w:val="006E0363"/>
    <w:rsid w:val="006E1EF9"/>
    <w:rsid w:val="006E2E52"/>
    <w:rsid w:val="006E3143"/>
    <w:rsid w:val="006F07F1"/>
    <w:rsid w:val="006F48C3"/>
    <w:rsid w:val="006F5E66"/>
    <w:rsid w:val="006F6380"/>
    <w:rsid w:val="007018D7"/>
    <w:rsid w:val="00702AA3"/>
    <w:rsid w:val="00703AE8"/>
    <w:rsid w:val="00712E79"/>
    <w:rsid w:val="00723F5D"/>
    <w:rsid w:val="00724865"/>
    <w:rsid w:val="0072651A"/>
    <w:rsid w:val="007327FC"/>
    <w:rsid w:val="00740140"/>
    <w:rsid w:val="007407A9"/>
    <w:rsid w:val="00756DF9"/>
    <w:rsid w:val="00760C0A"/>
    <w:rsid w:val="00761458"/>
    <w:rsid w:val="00770373"/>
    <w:rsid w:val="007715BC"/>
    <w:rsid w:val="007737FD"/>
    <w:rsid w:val="00773881"/>
    <w:rsid w:val="0077530D"/>
    <w:rsid w:val="00775FDA"/>
    <w:rsid w:val="00781587"/>
    <w:rsid w:val="00783279"/>
    <w:rsid w:val="00787E91"/>
    <w:rsid w:val="00791F67"/>
    <w:rsid w:val="00795FA3"/>
    <w:rsid w:val="007A39C2"/>
    <w:rsid w:val="007A4597"/>
    <w:rsid w:val="007A739A"/>
    <w:rsid w:val="007B27A5"/>
    <w:rsid w:val="007B6BFB"/>
    <w:rsid w:val="007C5385"/>
    <w:rsid w:val="007C6E47"/>
    <w:rsid w:val="007D21F4"/>
    <w:rsid w:val="007D4B33"/>
    <w:rsid w:val="007E0E64"/>
    <w:rsid w:val="007E72BA"/>
    <w:rsid w:val="007E74A1"/>
    <w:rsid w:val="007F4D7C"/>
    <w:rsid w:val="008000A8"/>
    <w:rsid w:val="00805F3A"/>
    <w:rsid w:val="0080605D"/>
    <w:rsid w:val="008066FC"/>
    <w:rsid w:val="008105EA"/>
    <w:rsid w:val="00812B11"/>
    <w:rsid w:val="00821C7B"/>
    <w:rsid w:val="00821D97"/>
    <w:rsid w:val="0082391D"/>
    <w:rsid w:val="008304A0"/>
    <w:rsid w:val="00830C59"/>
    <w:rsid w:val="00832CBF"/>
    <w:rsid w:val="008347C4"/>
    <w:rsid w:val="00835427"/>
    <w:rsid w:val="008402B6"/>
    <w:rsid w:val="0084633A"/>
    <w:rsid w:val="00857284"/>
    <w:rsid w:val="00863C07"/>
    <w:rsid w:val="008704E2"/>
    <w:rsid w:val="00870DDC"/>
    <w:rsid w:val="00876599"/>
    <w:rsid w:val="0088007E"/>
    <w:rsid w:val="008806E1"/>
    <w:rsid w:val="00883AF0"/>
    <w:rsid w:val="008868E4"/>
    <w:rsid w:val="0089098F"/>
    <w:rsid w:val="00897AA9"/>
    <w:rsid w:val="008A4824"/>
    <w:rsid w:val="008A4E40"/>
    <w:rsid w:val="008A6921"/>
    <w:rsid w:val="008A7ECD"/>
    <w:rsid w:val="008B3650"/>
    <w:rsid w:val="008B4520"/>
    <w:rsid w:val="008C037A"/>
    <w:rsid w:val="008C2CB6"/>
    <w:rsid w:val="008C72ED"/>
    <w:rsid w:val="008D085A"/>
    <w:rsid w:val="008D482E"/>
    <w:rsid w:val="008D5905"/>
    <w:rsid w:val="008D6624"/>
    <w:rsid w:val="008D7A33"/>
    <w:rsid w:val="008E51DC"/>
    <w:rsid w:val="008F6B13"/>
    <w:rsid w:val="009040A8"/>
    <w:rsid w:val="0090453B"/>
    <w:rsid w:val="00906859"/>
    <w:rsid w:val="00922666"/>
    <w:rsid w:val="0092555D"/>
    <w:rsid w:val="0093026B"/>
    <w:rsid w:val="009331D2"/>
    <w:rsid w:val="00933DF7"/>
    <w:rsid w:val="009366EE"/>
    <w:rsid w:val="009376E4"/>
    <w:rsid w:val="00943815"/>
    <w:rsid w:val="009457FF"/>
    <w:rsid w:val="009475F1"/>
    <w:rsid w:val="00954B6F"/>
    <w:rsid w:val="0096017A"/>
    <w:rsid w:val="00962D29"/>
    <w:rsid w:val="00963D3A"/>
    <w:rsid w:val="00964E82"/>
    <w:rsid w:val="009709F5"/>
    <w:rsid w:val="0097473E"/>
    <w:rsid w:val="009800D8"/>
    <w:rsid w:val="00981A75"/>
    <w:rsid w:val="00992C4F"/>
    <w:rsid w:val="00993F5B"/>
    <w:rsid w:val="009950C6"/>
    <w:rsid w:val="009A49DD"/>
    <w:rsid w:val="009B3493"/>
    <w:rsid w:val="009C4528"/>
    <w:rsid w:val="009D332D"/>
    <w:rsid w:val="009D7722"/>
    <w:rsid w:val="009D79C6"/>
    <w:rsid w:val="009E077A"/>
    <w:rsid w:val="009E08B0"/>
    <w:rsid w:val="009E2063"/>
    <w:rsid w:val="009F5420"/>
    <w:rsid w:val="009F5EA1"/>
    <w:rsid w:val="00A0246D"/>
    <w:rsid w:val="00A05E23"/>
    <w:rsid w:val="00A112C2"/>
    <w:rsid w:val="00A13216"/>
    <w:rsid w:val="00A14546"/>
    <w:rsid w:val="00A14B3F"/>
    <w:rsid w:val="00A17CF2"/>
    <w:rsid w:val="00A20233"/>
    <w:rsid w:val="00A235DF"/>
    <w:rsid w:val="00A41C5E"/>
    <w:rsid w:val="00A425B2"/>
    <w:rsid w:val="00A45E42"/>
    <w:rsid w:val="00A46BA9"/>
    <w:rsid w:val="00A47D9E"/>
    <w:rsid w:val="00A71089"/>
    <w:rsid w:val="00A77242"/>
    <w:rsid w:val="00A82369"/>
    <w:rsid w:val="00A84607"/>
    <w:rsid w:val="00A93D62"/>
    <w:rsid w:val="00A97007"/>
    <w:rsid w:val="00AA08C4"/>
    <w:rsid w:val="00AB0A8F"/>
    <w:rsid w:val="00AB4352"/>
    <w:rsid w:val="00AB5F91"/>
    <w:rsid w:val="00AB76FF"/>
    <w:rsid w:val="00AC1DEA"/>
    <w:rsid w:val="00AC2730"/>
    <w:rsid w:val="00AC334C"/>
    <w:rsid w:val="00AC41DA"/>
    <w:rsid w:val="00AC5825"/>
    <w:rsid w:val="00AD1C51"/>
    <w:rsid w:val="00AD4F03"/>
    <w:rsid w:val="00AE2B86"/>
    <w:rsid w:val="00AE3D00"/>
    <w:rsid w:val="00AE6C3F"/>
    <w:rsid w:val="00AE7604"/>
    <w:rsid w:val="00B02D5B"/>
    <w:rsid w:val="00B05073"/>
    <w:rsid w:val="00B054DE"/>
    <w:rsid w:val="00B14FFE"/>
    <w:rsid w:val="00B17DFA"/>
    <w:rsid w:val="00B17FC4"/>
    <w:rsid w:val="00B31328"/>
    <w:rsid w:val="00B31CF2"/>
    <w:rsid w:val="00B4584F"/>
    <w:rsid w:val="00B46FFB"/>
    <w:rsid w:val="00B5719E"/>
    <w:rsid w:val="00B61819"/>
    <w:rsid w:val="00B62A20"/>
    <w:rsid w:val="00B64124"/>
    <w:rsid w:val="00B6734B"/>
    <w:rsid w:val="00B72272"/>
    <w:rsid w:val="00B7473C"/>
    <w:rsid w:val="00B75822"/>
    <w:rsid w:val="00B75E9C"/>
    <w:rsid w:val="00B76952"/>
    <w:rsid w:val="00B96838"/>
    <w:rsid w:val="00BA1B4C"/>
    <w:rsid w:val="00BA1ED3"/>
    <w:rsid w:val="00BA27EE"/>
    <w:rsid w:val="00BA4375"/>
    <w:rsid w:val="00BA537A"/>
    <w:rsid w:val="00BA7CF4"/>
    <w:rsid w:val="00BB312F"/>
    <w:rsid w:val="00BC01E8"/>
    <w:rsid w:val="00BC0B79"/>
    <w:rsid w:val="00BC4990"/>
    <w:rsid w:val="00BC6512"/>
    <w:rsid w:val="00BD5261"/>
    <w:rsid w:val="00BD70C9"/>
    <w:rsid w:val="00BE1AAE"/>
    <w:rsid w:val="00BE437C"/>
    <w:rsid w:val="00BF5B69"/>
    <w:rsid w:val="00BF72AC"/>
    <w:rsid w:val="00C00ECB"/>
    <w:rsid w:val="00C02B8C"/>
    <w:rsid w:val="00C043CC"/>
    <w:rsid w:val="00C04C47"/>
    <w:rsid w:val="00C06220"/>
    <w:rsid w:val="00C129CF"/>
    <w:rsid w:val="00C13F57"/>
    <w:rsid w:val="00C251B8"/>
    <w:rsid w:val="00C255A1"/>
    <w:rsid w:val="00C30256"/>
    <w:rsid w:val="00C31BE1"/>
    <w:rsid w:val="00C40E7B"/>
    <w:rsid w:val="00C420E3"/>
    <w:rsid w:val="00C43B43"/>
    <w:rsid w:val="00C4474B"/>
    <w:rsid w:val="00C521AE"/>
    <w:rsid w:val="00C565F7"/>
    <w:rsid w:val="00C57F6A"/>
    <w:rsid w:val="00C60CB8"/>
    <w:rsid w:val="00C61B1E"/>
    <w:rsid w:val="00C65A91"/>
    <w:rsid w:val="00C6779E"/>
    <w:rsid w:val="00C73C60"/>
    <w:rsid w:val="00C73D93"/>
    <w:rsid w:val="00C77CFD"/>
    <w:rsid w:val="00C83663"/>
    <w:rsid w:val="00C847B7"/>
    <w:rsid w:val="00C90CE5"/>
    <w:rsid w:val="00C91B56"/>
    <w:rsid w:val="00CA0A8F"/>
    <w:rsid w:val="00CA4581"/>
    <w:rsid w:val="00CA7768"/>
    <w:rsid w:val="00CB170C"/>
    <w:rsid w:val="00CB1E2A"/>
    <w:rsid w:val="00CB29CA"/>
    <w:rsid w:val="00CB4EA1"/>
    <w:rsid w:val="00CB4EAF"/>
    <w:rsid w:val="00CB5FFD"/>
    <w:rsid w:val="00CB7C08"/>
    <w:rsid w:val="00CC1A41"/>
    <w:rsid w:val="00CC4C04"/>
    <w:rsid w:val="00CD56C5"/>
    <w:rsid w:val="00CD6A49"/>
    <w:rsid w:val="00CE4257"/>
    <w:rsid w:val="00CE63EA"/>
    <w:rsid w:val="00CE7A44"/>
    <w:rsid w:val="00CF0D79"/>
    <w:rsid w:val="00D02C8A"/>
    <w:rsid w:val="00D04F09"/>
    <w:rsid w:val="00D0533D"/>
    <w:rsid w:val="00D101B4"/>
    <w:rsid w:val="00D139DA"/>
    <w:rsid w:val="00D147AE"/>
    <w:rsid w:val="00D21EF5"/>
    <w:rsid w:val="00D2343B"/>
    <w:rsid w:val="00D23D5D"/>
    <w:rsid w:val="00D26F6C"/>
    <w:rsid w:val="00D27EFF"/>
    <w:rsid w:val="00D3689E"/>
    <w:rsid w:val="00D4571F"/>
    <w:rsid w:val="00D468CB"/>
    <w:rsid w:val="00D55524"/>
    <w:rsid w:val="00D616C0"/>
    <w:rsid w:val="00D6660D"/>
    <w:rsid w:val="00D81FD9"/>
    <w:rsid w:val="00D907AF"/>
    <w:rsid w:val="00DA0B75"/>
    <w:rsid w:val="00DA56EC"/>
    <w:rsid w:val="00DA6DD5"/>
    <w:rsid w:val="00DD3966"/>
    <w:rsid w:val="00DD6EAC"/>
    <w:rsid w:val="00DE5ADE"/>
    <w:rsid w:val="00DF14E2"/>
    <w:rsid w:val="00E0046D"/>
    <w:rsid w:val="00E03506"/>
    <w:rsid w:val="00E04BE3"/>
    <w:rsid w:val="00E14722"/>
    <w:rsid w:val="00E176E0"/>
    <w:rsid w:val="00E178CC"/>
    <w:rsid w:val="00E24ECF"/>
    <w:rsid w:val="00E2559F"/>
    <w:rsid w:val="00E2688B"/>
    <w:rsid w:val="00E3018A"/>
    <w:rsid w:val="00E3323C"/>
    <w:rsid w:val="00E40752"/>
    <w:rsid w:val="00E74A45"/>
    <w:rsid w:val="00E81609"/>
    <w:rsid w:val="00E85907"/>
    <w:rsid w:val="00E91992"/>
    <w:rsid w:val="00E92839"/>
    <w:rsid w:val="00E92BBF"/>
    <w:rsid w:val="00EA3758"/>
    <w:rsid w:val="00EA412E"/>
    <w:rsid w:val="00EB0004"/>
    <w:rsid w:val="00EC0D45"/>
    <w:rsid w:val="00EC22AE"/>
    <w:rsid w:val="00ED1714"/>
    <w:rsid w:val="00ED4F30"/>
    <w:rsid w:val="00EF386A"/>
    <w:rsid w:val="00EF696A"/>
    <w:rsid w:val="00EF6B5E"/>
    <w:rsid w:val="00F04C66"/>
    <w:rsid w:val="00F06C7A"/>
    <w:rsid w:val="00F1523B"/>
    <w:rsid w:val="00F24AA3"/>
    <w:rsid w:val="00F30287"/>
    <w:rsid w:val="00F3137C"/>
    <w:rsid w:val="00F3212B"/>
    <w:rsid w:val="00F34D00"/>
    <w:rsid w:val="00F374A7"/>
    <w:rsid w:val="00F37EF0"/>
    <w:rsid w:val="00F42710"/>
    <w:rsid w:val="00F448BA"/>
    <w:rsid w:val="00F44ABA"/>
    <w:rsid w:val="00F47746"/>
    <w:rsid w:val="00F544F7"/>
    <w:rsid w:val="00F611CE"/>
    <w:rsid w:val="00F64F8A"/>
    <w:rsid w:val="00F65B22"/>
    <w:rsid w:val="00F76645"/>
    <w:rsid w:val="00F834C8"/>
    <w:rsid w:val="00F90E08"/>
    <w:rsid w:val="00F966C1"/>
    <w:rsid w:val="00FA6F7D"/>
    <w:rsid w:val="00FA7F3F"/>
    <w:rsid w:val="00FB44A4"/>
    <w:rsid w:val="00FB7AEC"/>
    <w:rsid w:val="00FD2F6A"/>
    <w:rsid w:val="00FD30CB"/>
    <w:rsid w:val="00FE0F4D"/>
    <w:rsid w:val="00FF00B8"/>
    <w:rsid w:val="00FF1439"/>
    <w:rsid w:val="00FF37C4"/>
    <w:rsid w:val="00FF723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E63"/>
    <w:pPr>
      <w:jc w:val="both"/>
    </w:pPr>
    <w:rPr>
      <w:rFonts w:ascii="Arial" w:eastAsia="MS Mincho"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B5E63"/>
    <w:pPr>
      <w:tabs>
        <w:tab w:val="center" w:pos="4320"/>
        <w:tab w:val="right" w:pos="8640"/>
      </w:tabs>
    </w:pPr>
  </w:style>
  <w:style w:type="character" w:customStyle="1" w:styleId="HeaderChar">
    <w:name w:val="Header Char"/>
    <w:basedOn w:val="DefaultParagraphFont"/>
    <w:link w:val="Header"/>
    <w:uiPriority w:val="99"/>
    <w:rsid w:val="002B5E63"/>
    <w:rPr>
      <w:rFonts w:ascii="Arial" w:eastAsia="MS Mincho" w:hAnsi="Arial" w:cs="Times New Roman"/>
      <w:sz w:val="20"/>
      <w:szCs w:val="20"/>
    </w:rPr>
  </w:style>
  <w:style w:type="paragraph" w:styleId="Footer">
    <w:name w:val="footer"/>
    <w:basedOn w:val="Normal"/>
    <w:link w:val="FooterChar"/>
    <w:uiPriority w:val="99"/>
    <w:rsid w:val="002B5E63"/>
    <w:pPr>
      <w:tabs>
        <w:tab w:val="center" w:pos="4320"/>
        <w:tab w:val="right" w:pos="8640"/>
      </w:tabs>
    </w:pPr>
  </w:style>
  <w:style w:type="character" w:customStyle="1" w:styleId="FooterChar">
    <w:name w:val="Footer Char"/>
    <w:basedOn w:val="DefaultParagraphFont"/>
    <w:link w:val="Footer"/>
    <w:uiPriority w:val="99"/>
    <w:rsid w:val="002B5E63"/>
    <w:rPr>
      <w:rFonts w:ascii="Arial" w:eastAsia="MS Mincho" w:hAnsi="Arial" w:cs="Times New Roman"/>
      <w:sz w:val="20"/>
      <w:szCs w:val="20"/>
    </w:rPr>
  </w:style>
  <w:style w:type="character" w:styleId="PageNumber">
    <w:name w:val="page number"/>
    <w:basedOn w:val="DefaultParagraphFont"/>
    <w:uiPriority w:val="99"/>
    <w:rsid w:val="002B5E63"/>
    <w:rPr>
      <w:rFonts w:cs="Times New Roman"/>
    </w:rPr>
  </w:style>
  <w:style w:type="paragraph" w:customStyle="1" w:styleId="xFtrLogo">
    <w:name w:val="x_FtrLogo"/>
    <w:basedOn w:val="Normal"/>
    <w:uiPriority w:val="99"/>
    <w:rsid w:val="002B5E63"/>
    <w:pPr>
      <w:spacing w:before="60"/>
    </w:pPr>
  </w:style>
  <w:style w:type="paragraph" w:customStyle="1" w:styleId="xHdrLogo">
    <w:name w:val="x_HdrLogo"/>
    <w:basedOn w:val="Normal"/>
    <w:rsid w:val="002B5E63"/>
    <w:pPr>
      <w:spacing w:before="120"/>
    </w:pPr>
  </w:style>
  <w:style w:type="paragraph" w:customStyle="1" w:styleId="xHdrServiceName">
    <w:name w:val="x_HdrServiceName"/>
    <w:basedOn w:val="Normal"/>
    <w:rsid w:val="002B5E63"/>
    <w:pPr>
      <w:spacing w:before="120"/>
      <w:ind w:left="216"/>
      <w:jc w:val="right"/>
    </w:pPr>
    <w:rPr>
      <w:b/>
      <w:sz w:val="28"/>
    </w:rPr>
  </w:style>
  <w:style w:type="character" w:styleId="Hyperlink">
    <w:name w:val="Hyperlink"/>
    <w:basedOn w:val="DefaultParagraphFont"/>
    <w:uiPriority w:val="99"/>
    <w:rsid w:val="002B5E63"/>
    <w:rPr>
      <w:rFonts w:cs="Times New Roman"/>
      <w:color w:val="0000FF"/>
      <w:u w:val="single"/>
    </w:rPr>
  </w:style>
  <w:style w:type="paragraph" w:styleId="Title">
    <w:name w:val="Title"/>
    <w:basedOn w:val="Normal"/>
    <w:link w:val="TitleChar"/>
    <w:uiPriority w:val="99"/>
    <w:qFormat/>
    <w:rsid w:val="002B5E63"/>
    <w:pPr>
      <w:jc w:val="center"/>
    </w:pPr>
    <w:rPr>
      <w:rFonts w:ascii="Times New Roman" w:hAnsi="Times New Roman"/>
      <w:b/>
      <w:sz w:val="28"/>
    </w:rPr>
  </w:style>
  <w:style w:type="character" w:customStyle="1" w:styleId="TitleChar">
    <w:name w:val="Title Char"/>
    <w:basedOn w:val="DefaultParagraphFont"/>
    <w:link w:val="Title"/>
    <w:uiPriority w:val="99"/>
    <w:rsid w:val="002B5E63"/>
    <w:rPr>
      <w:rFonts w:ascii="Times New Roman" w:eastAsia="MS Mincho" w:hAnsi="Times New Roman" w:cs="Times New Roman"/>
      <w:b/>
      <w:sz w:val="28"/>
      <w:szCs w:val="20"/>
    </w:rPr>
  </w:style>
  <w:style w:type="paragraph" w:customStyle="1" w:styleId="contact">
    <w:name w:val="contact"/>
    <w:basedOn w:val="Normal"/>
    <w:rsid w:val="002B5E63"/>
    <w:pPr>
      <w:widowControl w:val="0"/>
      <w:tabs>
        <w:tab w:val="right" w:pos="9180"/>
      </w:tabs>
      <w:jc w:val="left"/>
    </w:pPr>
    <w:rPr>
      <w:rFonts w:ascii="Palatino" w:hAnsi="Palatino"/>
      <w:sz w:val="22"/>
    </w:rPr>
  </w:style>
  <w:style w:type="paragraph" w:customStyle="1" w:styleId="CellBodyL">
    <w:name w:val="CellBodyL"/>
    <w:basedOn w:val="Normal"/>
    <w:rsid w:val="002B5E63"/>
    <w:pPr>
      <w:spacing w:after="60"/>
      <w:jc w:val="left"/>
    </w:pPr>
    <w:rPr>
      <w:sz w:val="18"/>
    </w:rPr>
  </w:style>
  <w:style w:type="character" w:styleId="CommentReference">
    <w:name w:val="annotation reference"/>
    <w:basedOn w:val="DefaultParagraphFont"/>
    <w:semiHidden/>
    <w:rsid w:val="002B5E63"/>
    <w:rPr>
      <w:rFonts w:cs="Times New Roman"/>
      <w:sz w:val="16"/>
      <w:szCs w:val="16"/>
    </w:rPr>
  </w:style>
  <w:style w:type="paragraph" w:styleId="CommentText">
    <w:name w:val="annotation text"/>
    <w:basedOn w:val="Normal"/>
    <w:link w:val="CommentTextChar"/>
    <w:semiHidden/>
    <w:rsid w:val="002B5E63"/>
  </w:style>
  <w:style w:type="character" w:customStyle="1" w:styleId="CommentTextChar">
    <w:name w:val="Comment Text Char"/>
    <w:basedOn w:val="DefaultParagraphFont"/>
    <w:link w:val="CommentText"/>
    <w:semiHidden/>
    <w:rsid w:val="002B5E63"/>
    <w:rPr>
      <w:rFonts w:ascii="Arial" w:eastAsia="MS Mincho" w:hAnsi="Arial" w:cs="Times New Roman"/>
      <w:sz w:val="20"/>
      <w:szCs w:val="20"/>
    </w:rPr>
  </w:style>
  <w:style w:type="paragraph" w:styleId="ListBullet">
    <w:name w:val="List Bullet"/>
    <w:basedOn w:val="Normal"/>
    <w:uiPriority w:val="99"/>
    <w:rsid w:val="002B5E63"/>
    <w:pPr>
      <w:spacing w:before="160"/>
      <w:ind w:left="720" w:hanging="360"/>
      <w:jc w:val="left"/>
    </w:pPr>
  </w:style>
  <w:style w:type="paragraph" w:styleId="NormalWeb">
    <w:name w:val="Normal (Web)"/>
    <w:basedOn w:val="Normal"/>
    <w:uiPriority w:val="99"/>
    <w:rsid w:val="002B5E63"/>
    <w:pPr>
      <w:spacing w:before="100" w:beforeAutospacing="1" w:after="100" w:afterAutospacing="1"/>
      <w:jc w:val="left"/>
    </w:pPr>
    <w:rPr>
      <w:rFonts w:ascii="Times New Roman" w:hAnsi="Times New Roman"/>
      <w:sz w:val="24"/>
      <w:szCs w:val="24"/>
    </w:rPr>
  </w:style>
  <w:style w:type="paragraph" w:customStyle="1" w:styleId="Source">
    <w:name w:val="Source"/>
    <w:basedOn w:val="Normal"/>
    <w:next w:val="Normal"/>
    <w:rsid w:val="002B5E63"/>
    <w:pPr>
      <w:spacing w:after="80"/>
      <w:jc w:val="left"/>
    </w:pPr>
    <w:rPr>
      <w:rFonts w:eastAsia="Times New Roman"/>
      <w:b/>
      <w:sz w:val="16"/>
    </w:rPr>
  </w:style>
  <w:style w:type="paragraph" w:styleId="BalloonText">
    <w:name w:val="Balloon Text"/>
    <w:basedOn w:val="Normal"/>
    <w:link w:val="BalloonTextChar"/>
    <w:uiPriority w:val="99"/>
    <w:semiHidden/>
    <w:unhideWhenUsed/>
    <w:rsid w:val="002B5E63"/>
    <w:rPr>
      <w:rFonts w:ascii="Tahoma" w:hAnsi="Tahoma" w:cs="Tahoma"/>
      <w:sz w:val="16"/>
      <w:szCs w:val="16"/>
    </w:rPr>
  </w:style>
  <w:style w:type="character" w:customStyle="1" w:styleId="BalloonTextChar">
    <w:name w:val="Balloon Text Char"/>
    <w:basedOn w:val="DefaultParagraphFont"/>
    <w:link w:val="BalloonText"/>
    <w:uiPriority w:val="99"/>
    <w:semiHidden/>
    <w:rsid w:val="002B5E63"/>
    <w:rPr>
      <w:rFonts w:ascii="Tahoma" w:eastAsia="MS Mincho" w:hAnsi="Tahoma" w:cs="Tahoma"/>
      <w:sz w:val="16"/>
      <w:szCs w:val="16"/>
    </w:rPr>
  </w:style>
  <w:style w:type="character" w:styleId="Strong">
    <w:name w:val="Strong"/>
    <w:basedOn w:val="DefaultParagraphFont"/>
    <w:uiPriority w:val="22"/>
    <w:qFormat/>
    <w:rsid w:val="002B5E63"/>
    <w:rPr>
      <w:b/>
      <w:bCs/>
    </w:rPr>
  </w:style>
  <w:style w:type="paragraph" w:styleId="CommentSubject">
    <w:name w:val="annotation subject"/>
    <w:basedOn w:val="CommentText"/>
    <w:next w:val="CommentText"/>
    <w:link w:val="CommentSubjectChar"/>
    <w:uiPriority w:val="99"/>
    <w:semiHidden/>
    <w:unhideWhenUsed/>
    <w:rsid w:val="00FF1439"/>
    <w:rPr>
      <w:b/>
      <w:bCs/>
    </w:rPr>
  </w:style>
  <w:style w:type="character" w:customStyle="1" w:styleId="CommentSubjectChar">
    <w:name w:val="Comment Subject Char"/>
    <w:basedOn w:val="CommentTextChar"/>
    <w:link w:val="CommentSubject"/>
    <w:uiPriority w:val="99"/>
    <w:semiHidden/>
    <w:rsid w:val="00FF1439"/>
    <w:rPr>
      <w:rFonts w:ascii="Arial" w:eastAsia="MS Mincho" w:hAnsi="Arial" w:cs="Times New Roman"/>
      <w:b/>
      <w:bCs/>
      <w:sz w:val="20"/>
      <w:szCs w:val="20"/>
    </w:rPr>
  </w:style>
  <w:style w:type="paragraph" w:customStyle="1" w:styleId="HeadingJustified">
    <w:name w:val="_HeadingJustified"/>
    <w:basedOn w:val="Normal"/>
    <w:next w:val="Normal"/>
    <w:rsid w:val="00E85907"/>
    <w:rPr>
      <w:b/>
    </w:rPr>
  </w:style>
  <w:style w:type="character" w:styleId="FollowedHyperlink">
    <w:name w:val="FollowedHyperlink"/>
    <w:basedOn w:val="DefaultParagraphFont"/>
    <w:uiPriority w:val="99"/>
    <w:semiHidden/>
    <w:unhideWhenUsed/>
    <w:rsid w:val="0012021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E63"/>
    <w:pPr>
      <w:jc w:val="both"/>
    </w:pPr>
    <w:rPr>
      <w:rFonts w:ascii="Arial" w:eastAsia="MS Mincho"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B5E63"/>
    <w:pPr>
      <w:tabs>
        <w:tab w:val="center" w:pos="4320"/>
        <w:tab w:val="right" w:pos="8640"/>
      </w:tabs>
    </w:pPr>
  </w:style>
  <w:style w:type="character" w:customStyle="1" w:styleId="HeaderChar">
    <w:name w:val="Header Char"/>
    <w:basedOn w:val="DefaultParagraphFont"/>
    <w:link w:val="Header"/>
    <w:uiPriority w:val="99"/>
    <w:rsid w:val="002B5E63"/>
    <w:rPr>
      <w:rFonts w:ascii="Arial" w:eastAsia="MS Mincho" w:hAnsi="Arial" w:cs="Times New Roman"/>
      <w:sz w:val="20"/>
      <w:szCs w:val="20"/>
    </w:rPr>
  </w:style>
  <w:style w:type="paragraph" w:styleId="Footer">
    <w:name w:val="footer"/>
    <w:basedOn w:val="Normal"/>
    <w:link w:val="FooterChar"/>
    <w:uiPriority w:val="99"/>
    <w:rsid w:val="002B5E63"/>
    <w:pPr>
      <w:tabs>
        <w:tab w:val="center" w:pos="4320"/>
        <w:tab w:val="right" w:pos="8640"/>
      </w:tabs>
    </w:pPr>
  </w:style>
  <w:style w:type="character" w:customStyle="1" w:styleId="FooterChar">
    <w:name w:val="Footer Char"/>
    <w:basedOn w:val="DefaultParagraphFont"/>
    <w:link w:val="Footer"/>
    <w:uiPriority w:val="99"/>
    <w:rsid w:val="002B5E63"/>
    <w:rPr>
      <w:rFonts w:ascii="Arial" w:eastAsia="MS Mincho" w:hAnsi="Arial" w:cs="Times New Roman"/>
      <w:sz w:val="20"/>
      <w:szCs w:val="20"/>
    </w:rPr>
  </w:style>
  <w:style w:type="character" w:styleId="PageNumber">
    <w:name w:val="page number"/>
    <w:basedOn w:val="DefaultParagraphFont"/>
    <w:uiPriority w:val="99"/>
    <w:rsid w:val="002B5E63"/>
    <w:rPr>
      <w:rFonts w:cs="Times New Roman"/>
    </w:rPr>
  </w:style>
  <w:style w:type="paragraph" w:customStyle="1" w:styleId="xFtrLogo">
    <w:name w:val="x_FtrLogo"/>
    <w:basedOn w:val="Normal"/>
    <w:uiPriority w:val="99"/>
    <w:rsid w:val="002B5E63"/>
    <w:pPr>
      <w:spacing w:before="60"/>
    </w:pPr>
  </w:style>
  <w:style w:type="paragraph" w:customStyle="1" w:styleId="xHdrLogo">
    <w:name w:val="x_HdrLogo"/>
    <w:basedOn w:val="Normal"/>
    <w:rsid w:val="002B5E63"/>
    <w:pPr>
      <w:spacing w:before="120"/>
    </w:pPr>
  </w:style>
  <w:style w:type="paragraph" w:customStyle="1" w:styleId="xHdrServiceName">
    <w:name w:val="x_HdrServiceName"/>
    <w:basedOn w:val="Normal"/>
    <w:rsid w:val="002B5E63"/>
    <w:pPr>
      <w:spacing w:before="120"/>
      <w:ind w:left="216"/>
      <w:jc w:val="right"/>
    </w:pPr>
    <w:rPr>
      <w:b/>
      <w:sz w:val="28"/>
    </w:rPr>
  </w:style>
  <w:style w:type="character" w:styleId="Hyperlink">
    <w:name w:val="Hyperlink"/>
    <w:basedOn w:val="DefaultParagraphFont"/>
    <w:uiPriority w:val="99"/>
    <w:rsid w:val="002B5E63"/>
    <w:rPr>
      <w:rFonts w:cs="Times New Roman"/>
      <w:color w:val="0000FF"/>
      <w:u w:val="single"/>
    </w:rPr>
  </w:style>
  <w:style w:type="paragraph" w:styleId="Title">
    <w:name w:val="Title"/>
    <w:basedOn w:val="Normal"/>
    <w:link w:val="TitleChar"/>
    <w:uiPriority w:val="99"/>
    <w:qFormat/>
    <w:rsid w:val="002B5E63"/>
    <w:pPr>
      <w:jc w:val="center"/>
    </w:pPr>
    <w:rPr>
      <w:rFonts w:ascii="Times New Roman" w:hAnsi="Times New Roman"/>
      <w:b/>
      <w:sz w:val="28"/>
    </w:rPr>
  </w:style>
  <w:style w:type="character" w:customStyle="1" w:styleId="TitleChar">
    <w:name w:val="Title Char"/>
    <w:basedOn w:val="DefaultParagraphFont"/>
    <w:link w:val="Title"/>
    <w:uiPriority w:val="99"/>
    <w:rsid w:val="002B5E63"/>
    <w:rPr>
      <w:rFonts w:ascii="Times New Roman" w:eastAsia="MS Mincho" w:hAnsi="Times New Roman" w:cs="Times New Roman"/>
      <w:b/>
      <w:sz w:val="28"/>
      <w:szCs w:val="20"/>
    </w:rPr>
  </w:style>
  <w:style w:type="paragraph" w:customStyle="1" w:styleId="contact">
    <w:name w:val="contact"/>
    <w:basedOn w:val="Normal"/>
    <w:rsid w:val="002B5E63"/>
    <w:pPr>
      <w:widowControl w:val="0"/>
      <w:tabs>
        <w:tab w:val="right" w:pos="9180"/>
      </w:tabs>
      <w:jc w:val="left"/>
    </w:pPr>
    <w:rPr>
      <w:rFonts w:ascii="Palatino" w:hAnsi="Palatino"/>
      <w:sz w:val="22"/>
    </w:rPr>
  </w:style>
  <w:style w:type="paragraph" w:customStyle="1" w:styleId="CellBodyL">
    <w:name w:val="CellBodyL"/>
    <w:basedOn w:val="Normal"/>
    <w:rsid w:val="002B5E63"/>
    <w:pPr>
      <w:spacing w:after="60"/>
      <w:jc w:val="left"/>
    </w:pPr>
    <w:rPr>
      <w:sz w:val="18"/>
    </w:rPr>
  </w:style>
  <w:style w:type="character" w:styleId="CommentReference">
    <w:name w:val="annotation reference"/>
    <w:basedOn w:val="DefaultParagraphFont"/>
    <w:semiHidden/>
    <w:rsid w:val="002B5E63"/>
    <w:rPr>
      <w:rFonts w:cs="Times New Roman"/>
      <w:sz w:val="16"/>
      <w:szCs w:val="16"/>
    </w:rPr>
  </w:style>
  <w:style w:type="paragraph" w:styleId="CommentText">
    <w:name w:val="annotation text"/>
    <w:basedOn w:val="Normal"/>
    <w:link w:val="CommentTextChar"/>
    <w:semiHidden/>
    <w:rsid w:val="002B5E63"/>
  </w:style>
  <w:style w:type="character" w:customStyle="1" w:styleId="CommentTextChar">
    <w:name w:val="Comment Text Char"/>
    <w:basedOn w:val="DefaultParagraphFont"/>
    <w:link w:val="CommentText"/>
    <w:semiHidden/>
    <w:rsid w:val="002B5E63"/>
    <w:rPr>
      <w:rFonts w:ascii="Arial" w:eastAsia="MS Mincho" w:hAnsi="Arial" w:cs="Times New Roman"/>
      <w:sz w:val="20"/>
      <w:szCs w:val="20"/>
    </w:rPr>
  </w:style>
  <w:style w:type="paragraph" w:styleId="ListBullet">
    <w:name w:val="List Bullet"/>
    <w:basedOn w:val="Normal"/>
    <w:uiPriority w:val="99"/>
    <w:rsid w:val="002B5E63"/>
    <w:pPr>
      <w:spacing w:before="160"/>
      <w:ind w:left="720" w:hanging="360"/>
      <w:jc w:val="left"/>
    </w:pPr>
  </w:style>
  <w:style w:type="paragraph" w:styleId="NormalWeb">
    <w:name w:val="Normal (Web)"/>
    <w:basedOn w:val="Normal"/>
    <w:uiPriority w:val="99"/>
    <w:rsid w:val="002B5E63"/>
    <w:pPr>
      <w:spacing w:before="100" w:beforeAutospacing="1" w:after="100" w:afterAutospacing="1"/>
      <w:jc w:val="left"/>
    </w:pPr>
    <w:rPr>
      <w:rFonts w:ascii="Times New Roman" w:hAnsi="Times New Roman"/>
      <w:sz w:val="24"/>
      <w:szCs w:val="24"/>
    </w:rPr>
  </w:style>
  <w:style w:type="paragraph" w:customStyle="1" w:styleId="Source">
    <w:name w:val="Source"/>
    <w:basedOn w:val="Normal"/>
    <w:next w:val="Normal"/>
    <w:rsid w:val="002B5E63"/>
    <w:pPr>
      <w:spacing w:after="80"/>
      <w:jc w:val="left"/>
    </w:pPr>
    <w:rPr>
      <w:rFonts w:eastAsia="Times New Roman"/>
      <w:b/>
      <w:sz w:val="16"/>
    </w:rPr>
  </w:style>
  <w:style w:type="paragraph" w:styleId="BalloonText">
    <w:name w:val="Balloon Text"/>
    <w:basedOn w:val="Normal"/>
    <w:link w:val="BalloonTextChar"/>
    <w:uiPriority w:val="99"/>
    <w:semiHidden/>
    <w:unhideWhenUsed/>
    <w:rsid w:val="002B5E63"/>
    <w:rPr>
      <w:rFonts w:ascii="Tahoma" w:hAnsi="Tahoma" w:cs="Tahoma"/>
      <w:sz w:val="16"/>
      <w:szCs w:val="16"/>
    </w:rPr>
  </w:style>
  <w:style w:type="character" w:customStyle="1" w:styleId="BalloonTextChar">
    <w:name w:val="Balloon Text Char"/>
    <w:basedOn w:val="DefaultParagraphFont"/>
    <w:link w:val="BalloonText"/>
    <w:uiPriority w:val="99"/>
    <w:semiHidden/>
    <w:rsid w:val="002B5E63"/>
    <w:rPr>
      <w:rFonts w:ascii="Tahoma" w:eastAsia="MS Mincho" w:hAnsi="Tahoma" w:cs="Tahoma"/>
      <w:sz w:val="16"/>
      <w:szCs w:val="16"/>
    </w:rPr>
  </w:style>
  <w:style w:type="character" w:styleId="Strong">
    <w:name w:val="Strong"/>
    <w:basedOn w:val="DefaultParagraphFont"/>
    <w:uiPriority w:val="22"/>
    <w:qFormat/>
    <w:rsid w:val="002B5E63"/>
    <w:rPr>
      <w:b/>
      <w:bCs/>
    </w:rPr>
  </w:style>
  <w:style w:type="paragraph" w:styleId="CommentSubject">
    <w:name w:val="annotation subject"/>
    <w:basedOn w:val="CommentText"/>
    <w:next w:val="CommentText"/>
    <w:link w:val="CommentSubjectChar"/>
    <w:uiPriority w:val="99"/>
    <w:semiHidden/>
    <w:unhideWhenUsed/>
    <w:rsid w:val="00FF1439"/>
    <w:rPr>
      <w:b/>
      <w:bCs/>
    </w:rPr>
  </w:style>
  <w:style w:type="character" w:customStyle="1" w:styleId="CommentSubjectChar">
    <w:name w:val="Comment Subject Char"/>
    <w:basedOn w:val="CommentTextChar"/>
    <w:link w:val="CommentSubject"/>
    <w:uiPriority w:val="99"/>
    <w:semiHidden/>
    <w:rsid w:val="00FF1439"/>
    <w:rPr>
      <w:rFonts w:ascii="Arial" w:eastAsia="MS Mincho" w:hAnsi="Arial" w:cs="Times New Roman"/>
      <w:b/>
      <w:bCs/>
      <w:sz w:val="20"/>
      <w:szCs w:val="20"/>
    </w:rPr>
  </w:style>
  <w:style w:type="paragraph" w:customStyle="1" w:styleId="HeadingJustified">
    <w:name w:val="_HeadingJustified"/>
    <w:basedOn w:val="Normal"/>
    <w:next w:val="Normal"/>
    <w:rsid w:val="00E85907"/>
    <w:rPr>
      <w:b/>
    </w:rPr>
  </w:style>
  <w:style w:type="character" w:styleId="FollowedHyperlink">
    <w:name w:val="FollowedHyperlink"/>
    <w:basedOn w:val="DefaultParagraphFont"/>
    <w:uiPriority w:val="99"/>
    <w:semiHidden/>
    <w:unhideWhenUsed/>
    <w:rsid w:val="0012021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4775131">
      <w:bodyDiv w:val="1"/>
      <w:marLeft w:val="0"/>
      <w:marRight w:val="0"/>
      <w:marTop w:val="0"/>
      <w:marBottom w:val="0"/>
      <w:divBdr>
        <w:top w:val="none" w:sz="0" w:space="0" w:color="auto"/>
        <w:left w:val="none" w:sz="0" w:space="0" w:color="auto"/>
        <w:bottom w:val="none" w:sz="0" w:space="0" w:color="auto"/>
        <w:right w:val="none" w:sz="0" w:space="0" w:color="auto"/>
      </w:divBdr>
    </w:div>
    <w:div w:id="103311613">
      <w:bodyDiv w:val="1"/>
      <w:marLeft w:val="0"/>
      <w:marRight w:val="0"/>
      <w:marTop w:val="0"/>
      <w:marBottom w:val="0"/>
      <w:divBdr>
        <w:top w:val="none" w:sz="0" w:space="0" w:color="auto"/>
        <w:left w:val="none" w:sz="0" w:space="0" w:color="auto"/>
        <w:bottom w:val="none" w:sz="0" w:space="0" w:color="auto"/>
        <w:right w:val="none" w:sz="0" w:space="0" w:color="auto"/>
      </w:divBdr>
    </w:div>
    <w:div w:id="163863319">
      <w:bodyDiv w:val="1"/>
      <w:marLeft w:val="0"/>
      <w:marRight w:val="0"/>
      <w:marTop w:val="0"/>
      <w:marBottom w:val="0"/>
      <w:divBdr>
        <w:top w:val="none" w:sz="0" w:space="0" w:color="auto"/>
        <w:left w:val="none" w:sz="0" w:space="0" w:color="auto"/>
        <w:bottom w:val="none" w:sz="0" w:space="0" w:color="auto"/>
        <w:right w:val="none" w:sz="0" w:space="0" w:color="auto"/>
      </w:divBdr>
    </w:div>
    <w:div w:id="253822433">
      <w:bodyDiv w:val="1"/>
      <w:marLeft w:val="0"/>
      <w:marRight w:val="0"/>
      <w:marTop w:val="0"/>
      <w:marBottom w:val="0"/>
      <w:divBdr>
        <w:top w:val="none" w:sz="0" w:space="0" w:color="auto"/>
        <w:left w:val="none" w:sz="0" w:space="0" w:color="auto"/>
        <w:bottom w:val="none" w:sz="0" w:space="0" w:color="auto"/>
        <w:right w:val="none" w:sz="0" w:space="0" w:color="auto"/>
      </w:divBdr>
    </w:div>
    <w:div w:id="708184362">
      <w:bodyDiv w:val="1"/>
      <w:marLeft w:val="0"/>
      <w:marRight w:val="0"/>
      <w:marTop w:val="0"/>
      <w:marBottom w:val="0"/>
      <w:divBdr>
        <w:top w:val="none" w:sz="0" w:space="0" w:color="auto"/>
        <w:left w:val="none" w:sz="0" w:space="0" w:color="auto"/>
        <w:bottom w:val="none" w:sz="0" w:space="0" w:color="auto"/>
        <w:right w:val="none" w:sz="0" w:space="0" w:color="auto"/>
      </w:divBdr>
    </w:div>
    <w:div w:id="986319931">
      <w:bodyDiv w:val="1"/>
      <w:marLeft w:val="0"/>
      <w:marRight w:val="0"/>
      <w:marTop w:val="0"/>
      <w:marBottom w:val="0"/>
      <w:divBdr>
        <w:top w:val="none" w:sz="0" w:space="0" w:color="auto"/>
        <w:left w:val="none" w:sz="0" w:space="0" w:color="auto"/>
        <w:bottom w:val="none" w:sz="0" w:space="0" w:color="auto"/>
        <w:right w:val="none" w:sz="0" w:space="0" w:color="auto"/>
      </w:divBdr>
      <w:divsChild>
        <w:div w:id="822159778">
          <w:marLeft w:val="0"/>
          <w:marRight w:val="0"/>
          <w:marTop w:val="0"/>
          <w:marBottom w:val="0"/>
          <w:divBdr>
            <w:top w:val="none" w:sz="0" w:space="0" w:color="auto"/>
            <w:left w:val="none" w:sz="0" w:space="0" w:color="auto"/>
            <w:bottom w:val="none" w:sz="0" w:space="0" w:color="auto"/>
            <w:right w:val="none" w:sz="0" w:space="0" w:color="auto"/>
          </w:divBdr>
          <w:divsChild>
            <w:div w:id="969557999">
              <w:marLeft w:val="0"/>
              <w:marRight w:val="0"/>
              <w:marTop w:val="0"/>
              <w:marBottom w:val="0"/>
              <w:divBdr>
                <w:top w:val="none" w:sz="0" w:space="0" w:color="auto"/>
                <w:left w:val="none" w:sz="0" w:space="0" w:color="auto"/>
                <w:bottom w:val="none" w:sz="0" w:space="0" w:color="auto"/>
                <w:right w:val="none" w:sz="0" w:space="0" w:color="auto"/>
              </w:divBdr>
              <w:divsChild>
                <w:div w:id="352611637">
                  <w:marLeft w:val="0"/>
                  <w:marRight w:val="0"/>
                  <w:marTop w:val="0"/>
                  <w:marBottom w:val="0"/>
                  <w:divBdr>
                    <w:top w:val="none" w:sz="0" w:space="0" w:color="auto"/>
                    <w:left w:val="none" w:sz="0" w:space="0" w:color="auto"/>
                    <w:bottom w:val="none" w:sz="0" w:space="0" w:color="auto"/>
                    <w:right w:val="none" w:sz="0" w:space="0" w:color="auto"/>
                  </w:divBdr>
                  <w:divsChild>
                    <w:div w:id="902562556">
                      <w:marLeft w:val="0"/>
                      <w:marRight w:val="0"/>
                      <w:marTop w:val="0"/>
                      <w:marBottom w:val="0"/>
                      <w:divBdr>
                        <w:top w:val="none" w:sz="0" w:space="0" w:color="auto"/>
                        <w:left w:val="none" w:sz="0" w:space="0" w:color="auto"/>
                        <w:bottom w:val="none" w:sz="0" w:space="0" w:color="auto"/>
                        <w:right w:val="none" w:sz="0" w:space="0" w:color="auto"/>
                      </w:divBdr>
                      <w:divsChild>
                        <w:div w:id="475536657">
                          <w:marLeft w:val="0"/>
                          <w:marRight w:val="0"/>
                          <w:marTop w:val="0"/>
                          <w:marBottom w:val="0"/>
                          <w:divBdr>
                            <w:top w:val="none" w:sz="0" w:space="0" w:color="auto"/>
                            <w:left w:val="none" w:sz="0" w:space="0" w:color="auto"/>
                            <w:bottom w:val="none" w:sz="0" w:space="0" w:color="auto"/>
                            <w:right w:val="none" w:sz="0" w:space="0" w:color="auto"/>
                          </w:divBdr>
                          <w:divsChild>
                            <w:div w:id="1604264109">
                              <w:marLeft w:val="0"/>
                              <w:marRight w:val="0"/>
                              <w:marTop w:val="0"/>
                              <w:marBottom w:val="0"/>
                              <w:divBdr>
                                <w:top w:val="none" w:sz="0" w:space="0" w:color="auto"/>
                                <w:left w:val="none" w:sz="0" w:space="0" w:color="auto"/>
                                <w:bottom w:val="none" w:sz="0" w:space="0" w:color="auto"/>
                                <w:right w:val="none" w:sz="0" w:space="0" w:color="auto"/>
                              </w:divBdr>
                              <w:divsChild>
                                <w:div w:id="1874533307">
                                  <w:marLeft w:val="0"/>
                                  <w:marRight w:val="0"/>
                                  <w:marTop w:val="0"/>
                                  <w:marBottom w:val="0"/>
                                  <w:divBdr>
                                    <w:top w:val="none" w:sz="0" w:space="0" w:color="auto"/>
                                    <w:left w:val="none" w:sz="0" w:space="0" w:color="auto"/>
                                    <w:bottom w:val="none" w:sz="0" w:space="0" w:color="auto"/>
                                    <w:right w:val="none" w:sz="0" w:space="0" w:color="auto"/>
                                  </w:divBdr>
                                  <w:divsChild>
                                    <w:div w:id="1535577322">
                                      <w:marLeft w:val="0"/>
                                      <w:marRight w:val="0"/>
                                      <w:marTop w:val="0"/>
                                      <w:marBottom w:val="0"/>
                                      <w:divBdr>
                                        <w:top w:val="none" w:sz="0" w:space="0" w:color="auto"/>
                                        <w:left w:val="none" w:sz="0" w:space="0" w:color="auto"/>
                                        <w:bottom w:val="none" w:sz="0" w:space="0" w:color="auto"/>
                                        <w:right w:val="none" w:sz="0" w:space="0" w:color="auto"/>
                                      </w:divBdr>
                                      <w:divsChild>
                                        <w:div w:id="1893733423">
                                          <w:marLeft w:val="0"/>
                                          <w:marRight w:val="0"/>
                                          <w:marTop w:val="0"/>
                                          <w:marBottom w:val="0"/>
                                          <w:divBdr>
                                            <w:top w:val="none" w:sz="0" w:space="0" w:color="auto"/>
                                            <w:left w:val="none" w:sz="0" w:space="0" w:color="auto"/>
                                            <w:bottom w:val="none" w:sz="0" w:space="0" w:color="auto"/>
                                            <w:right w:val="none" w:sz="0" w:space="0" w:color="auto"/>
                                          </w:divBdr>
                                          <w:divsChild>
                                            <w:div w:id="929777535">
                                              <w:marLeft w:val="0"/>
                                              <w:marRight w:val="0"/>
                                              <w:marTop w:val="0"/>
                                              <w:marBottom w:val="0"/>
                                              <w:divBdr>
                                                <w:top w:val="none" w:sz="0" w:space="0" w:color="auto"/>
                                                <w:left w:val="none" w:sz="0" w:space="0" w:color="auto"/>
                                                <w:bottom w:val="none" w:sz="0" w:space="0" w:color="auto"/>
                                                <w:right w:val="none" w:sz="0" w:space="0" w:color="auto"/>
                                              </w:divBdr>
                                              <w:divsChild>
                                                <w:div w:id="1490631025">
                                                  <w:marLeft w:val="0"/>
                                                  <w:marRight w:val="0"/>
                                                  <w:marTop w:val="0"/>
                                                  <w:marBottom w:val="0"/>
                                                  <w:divBdr>
                                                    <w:top w:val="none" w:sz="0" w:space="0" w:color="auto"/>
                                                    <w:left w:val="none" w:sz="0" w:space="0" w:color="auto"/>
                                                    <w:bottom w:val="none" w:sz="0" w:space="0" w:color="auto"/>
                                                    <w:right w:val="none" w:sz="0" w:space="0" w:color="auto"/>
                                                  </w:divBdr>
                                                  <w:divsChild>
                                                    <w:div w:id="1011105899">
                                                      <w:marLeft w:val="0"/>
                                                      <w:marRight w:val="0"/>
                                                      <w:marTop w:val="0"/>
                                                      <w:marBottom w:val="0"/>
                                                      <w:divBdr>
                                                        <w:top w:val="none" w:sz="0" w:space="0" w:color="auto"/>
                                                        <w:left w:val="none" w:sz="0" w:space="0" w:color="auto"/>
                                                        <w:bottom w:val="none" w:sz="0" w:space="0" w:color="auto"/>
                                                        <w:right w:val="none" w:sz="0" w:space="0" w:color="auto"/>
                                                      </w:divBdr>
                                                      <w:divsChild>
                                                        <w:div w:id="1365784461">
                                                          <w:marLeft w:val="0"/>
                                                          <w:marRight w:val="0"/>
                                                          <w:marTop w:val="0"/>
                                                          <w:marBottom w:val="0"/>
                                                          <w:divBdr>
                                                            <w:top w:val="none" w:sz="0" w:space="0" w:color="auto"/>
                                                            <w:left w:val="none" w:sz="0" w:space="0" w:color="auto"/>
                                                            <w:bottom w:val="none" w:sz="0" w:space="0" w:color="auto"/>
                                                            <w:right w:val="none" w:sz="0" w:space="0" w:color="auto"/>
                                                          </w:divBdr>
                                                          <w:divsChild>
                                                            <w:div w:id="185691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7286483">
      <w:bodyDiv w:val="1"/>
      <w:marLeft w:val="0"/>
      <w:marRight w:val="0"/>
      <w:marTop w:val="0"/>
      <w:marBottom w:val="0"/>
      <w:divBdr>
        <w:top w:val="none" w:sz="0" w:space="0" w:color="auto"/>
        <w:left w:val="none" w:sz="0" w:space="0" w:color="auto"/>
        <w:bottom w:val="none" w:sz="0" w:space="0" w:color="auto"/>
        <w:right w:val="none" w:sz="0" w:space="0" w:color="auto"/>
      </w:divBdr>
    </w:div>
    <w:div w:id="1131633938">
      <w:bodyDiv w:val="1"/>
      <w:marLeft w:val="0"/>
      <w:marRight w:val="0"/>
      <w:marTop w:val="0"/>
      <w:marBottom w:val="0"/>
      <w:divBdr>
        <w:top w:val="none" w:sz="0" w:space="0" w:color="auto"/>
        <w:left w:val="none" w:sz="0" w:space="0" w:color="auto"/>
        <w:bottom w:val="none" w:sz="0" w:space="0" w:color="auto"/>
        <w:right w:val="none" w:sz="0" w:space="0" w:color="auto"/>
      </w:divBdr>
      <w:divsChild>
        <w:div w:id="1319843699">
          <w:marLeft w:val="0"/>
          <w:marRight w:val="0"/>
          <w:marTop w:val="0"/>
          <w:marBottom w:val="0"/>
          <w:divBdr>
            <w:top w:val="none" w:sz="0" w:space="0" w:color="auto"/>
            <w:left w:val="none" w:sz="0" w:space="0" w:color="auto"/>
            <w:bottom w:val="none" w:sz="0" w:space="0" w:color="auto"/>
            <w:right w:val="none" w:sz="0" w:space="0" w:color="auto"/>
          </w:divBdr>
        </w:div>
      </w:divsChild>
    </w:div>
    <w:div w:id="1203177949">
      <w:bodyDiv w:val="1"/>
      <w:marLeft w:val="0"/>
      <w:marRight w:val="0"/>
      <w:marTop w:val="0"/>
      <w:marBottom w:val="0"/>
      <w:divBdr>
        <w:top w:val="none" w:sz="0" w:space="0" w:color="auto"/>
        <w:left w:val="none" w:sz="0" w:space="0" w:color="auto"/>
        <w:bottom w:val="none" w:sz="0" w:space="0" w:color="auto"/>
        <w:right w:val="none" w:sz="0" w:space="0" w:color="auto"/>
      </w:divBdr>
    </w:div>
    <w:div w:id="1253661862">
      <w:bodyDiv w:val="1"/>
      <w:marLeft w:val="0"/>
      <w:marRight w:val="0"/>
      <w:marTop w:val="0"/>
      <w:marBottom w:val="0"/>
      <w:divBdr>
        <w:top w:val="none" w:sz="0" w:space="0" w:color="auto"/>
        <w:left w:val="none" w:sz="0" w:space="0" w:color="auto"/>
        <w:bottom w:val="none" w:sz="0" w:space="0" w:color="auto"/>
        <w:right w:val="none" w:sz="0" w:space="0" w:color="auto"/>
      </w:divBdr>
    </w:div>
    <w:div w:id="1280377708">
      <w:bodyDiv w:val="1"/>
      <w:marLeft w:val="0"/>
      <w:marRight w:val="0"/>
      <w:marTop w:val="0"/>
      <w:marBottom w:val="0"/>
      <w:divBdr>
        <w:top w:val="none" w:sz="0" w:space="0" w:color="auto"/>
        <w:left w:val="none" w:sz="0" w:space="0" w:color="auto"/>
        <w:bottom w:val="none" w:sz="0" w:space="0" w:color="auto"/>
        <w:right w:val="none" w:sz="0" w:space="0" w:color="auto"/>
      </w:divBdr>
    </w:div>
    <w:div w:id="1382441949">
      <w:bodyDiv w:val="1"/>
      <w:marLeft w:val="0"/>
      <w:marRight w:val="0"/>
      <w:marTop w:val="0"/>
      <w:marBottom w:val="0"/>
      <w:divBdr>
        <w:top w:val="none" w:sz="0" w:space="0" w:color="auto"/>
        <w:left w:val="none" w:sz="0" w:space="0" w:color="auto"/>
        <w:bottom w:val="none" w:sz="0" w:space="0" w:color="auto"/>
        <w:right w:val="none" w:sz="0" w:space="0" w:color="auto"/>
      </w:divBdr>
    </w:div>
    <w:div w:id="1461459991">
      <w:bodyDiv w:val="1"/>
      <w:marLeft w:val="0"/>
      <w:marRight w:val="0"/>
      <w:marTop w:val="0"/>
      <w:marBottom w:val="0"/>
      <w:divBdr>
        <w:top w:val="none" w:sz="0" w:space="0" w:color="auto"/>
        <w:left w:val="none" w:sz="0" w:space="0" w:color="auto"/>
        <w:bottom w:val="none" w:sz="0" w:space="0" w:color="auto"/>
        <w:right w:val="none" w:sz="0" w:space="0" w:color="auto"/>
      </w:divBdr>
    </w:div>
    <w:div w:id="1489441487">
      <w:bodyDiv w:val="1"/>
      <w:marLeft w:val="0"/>
      <w:marRight w:val="0"/>
      <w:marTop w:val="0"/>
      <w:marBottom w:val="0"/>
      <w:divBdr>
        <w:top w:val="none" w:sz="0" w:space="0" w:color="auto"/>
        <w:left w:val="none" w:sz="0" w:space="0" w:color="auto"/>
        <w:bottom w:val="none" w:sz="0" w:space="0" w:color="auto"/>
        <w:right w:val="none" w:sz="0" w:space="0" w:color="auto"/>
      </w:divBdr>
    </w:div>
    <w:div w:id="1612973002">
      <w:bodyDiv w:val="1"/>
      <w:marLeft w:val="0"/>
      <w:marRight w:val="0"/>
      <w:marTop w:val="0"/>
      <w:marBottom w:val="0"/>
      <w:divBdr>
        <w:top w:val="none" w:sz="0" w:space="0" w:color="auto"/>
        <w:left w:val="none" w:sz="0" w:space="0" w:color="auto"/>
        <w:bottom w:val="none" w:sz="0" w:space="0" w:color="auto"/>
        <w:right w:val="none" w:sz="0" w:space="0" w:color="auto"/>
      </w:divBdr>
      <w:divsChild>
        <w:div w:id="643122380">
          <w:marLeft w:val="0"/>
          <w:marRight w:val="0"/>
          <w:marTop w:val="0"/>
          <w:marBottom w:val="0"/>
          <w:divBdr>
            <w:top w:val="none" w:sz="0" w:space="0" w:color="auto"/>
            <w:left w:val="none" w:sz="0" w:space="0" w:color="auto"/>
            <w:bottom w:val="none" w:sz="0" w:space="0" w:color="auto"/>
            <w:right w:val="none" w:sz="0" w:space="0" w:color="auto"/>
          </w:divBdr>
          <w:divsChild>
            <w:div w:id="4982215">
              <w:marLeft w:val="0"/>
              <w:marRight w:val="0"/>
              <w:marTop w:val="0"/>
              <w:marBottom w:val="0"/>
              <w:divBdr>
                <w:top w:val="none" w:sz="0" w:space="0" w:color="auto"/>
                <w:left w:val="none" w:sz="0" w:space="0" w:color="auto"/>
                <w:bottom w:val="none" w:sz="0" w:space="0" w:color="auto"/>
                <w:right w:val="none" w:sz="0" w:space="0" w:color="auto"/>
              </w:divBdr>
              <w:divsChild>
                <w:div w:id="1819758818">
                  <w:marLeft w:val="0"/>
                  <w:marRight w:val="0"/>
                  <w:marTop w:val="0"/>
                  <w:marBottom w:val="0"/>
                  <w:divBdr>
                    <w:top w:val="none" w:sz="0" w:space="0" w:color="auto"/>
                    <w:left w:val="none" w:sz="0" w:space="0" w:color="auto"/>
                    <w:bottom w:val="none" w:sz="0" w:space="0" w:color="auto"/>
                    <w:right w:val="none" w:sz="0" w:space="0" w:color="auto"/>
                  </w:divBdr>
                  <w:divsChild>
                    <w:div w:id="1249190437">
                      <w:marLeft w:val="0"/>
                      <w:marRight w:val="0"/>
                      <w:marTop w:val="0"/>
                      <w:marBottom w:val="0"/>
                      <w:divBdr>
                        <w:top w:val="none" w:sz="0" w:space="0" w:color="auto"/>
                        <w:left w:val="none" w:sz="0" w:space="0" w:color="auto"/>
                        <w:bottom w:val="none" w:sz="0" w:space="0" w:color="auto"/>
                        <w:right w:val="none" w:sz="0" w:space="0" w:color="auto"/>
                      </w:divBdr>
                      <w:divsChild>
                        <w:div w:id="1067072238">
                          <w:marLeft w:val="0"/>
                          <w:marRight w:val="0"/>
                          <w:marTop w:val="0"/>
                          <w:marBottom w:val="0"/>
                          <w:divBdr>
                            <w:top w:val="none" w:sz="0" w:space="0" w:color="auto"/>
                            <w:left w:val="none" w:sz="0" w:space="0" w:color="auto"/>
                            <w:bottom w:val="none" w:sz="0" w:space="0" w:color="auto"/>
                            <w:right w:val="none" w:sz="0" w:space="0" w:color="auto"/>
                          </w:divBdr>
                          <w:divsChild>
                            <w:div w:id="68843667">
                              <w:marLeft w:val="0"/>
                              <w:marRight w:val="0"/>
                              <w:marTop w:val="0"/>
                              <w:marBottom w:val="0"/>
                              <w:divBdr>
                                <w:top w:val="none" w:sz="0" w:space="0" w:color="auto"/>
                                <w:left w:val="none" w:sz="0" w:space="0" w:color="auto"/>
                                <w:bottom w:val="none" w:sz="0" w:space="0" w:color="auto"/>
                                <w:right w:val="none" w:sz="0" w:space="0" w:color="auto"/>
                              </w:divBdr>
                              <w:divsChild>
                                <w:div w:id="358431898">
                                  <w:marLeft w:val="0"/>
                                  <w:marRight w:val="0"/>
                                  <w:marTop w:val="0"/>
                                  <w:marBottom w:val="0"/>
                                  <w:divBdr>
                                    <w:top w:val="none" w:sz="0" w:space="0" w:color="auto"/>
                                    <w:left w:val="none" w:sz="0" w:space="0" w:color="auto"/>
                                    <w:bottom w:val="none" w:sz="0" w:space="0" w:color="auto"/>
                                    <w:right w:val="none" w:sz="0" w:space="0" w:color="auto"/>
                                  </w:divBdr>
                                  <w:divsChild>
                                    <w:div w:id="1220633120">
                                      <w:marLeft w:val="0"/>
                                      <w:marRight w:val="0"/>
                                      <w:marTop w:val="0"/>
                                      <w:marBottom w:val="0"/>
                                      <w:divBdr>
                                        <w:top w:val="none" w:sz="0" w:space="0" w:color="auto"/>
                                        <w:left w:val="none" w:sz="0" w:space="0" w:color="auto"/>
                                        <w:bottom w:val="none" w:sz="0" w:space="0" w:color="auto"/>
                                        <w:right w:val="none" w:sz="0" w:space="0" w:color="auto"/>
                                      </w:divBdr>
                                      <w:divsChild>
                                        <w:div w:id="451478266">
                                          <w:marLeft w:val="0"/>
                                          <w:marRight w:val="0"/>
                                          <w:marTop w:val="0"/>
                                          <w:marBottom w:val="0"/>
                                          <w:divBdr>
                                            <w:top w:val="none" w:sz="0" w:space="0" w:color="auto"/>
                                            <w:left w:val="none" w:sz="0" w:space="0" w:color="auto"/>
                                            <w:bottom w:val="none" w:sz="0" w:space="0" w:color="auto"/>
                                            <w:right w:val="none" w:sz="0" w:space="0" w:color="auto"/>
                                          </w:divBdr>
                                          <w:divsChild>
                                            <w:div w:id="2019849455">
                                              <w:marLeft w:val="0"/>
                                              <w:marRight w:val="0"/>
                                              <w:marTop w:val="0"/>
                                              <w:marBottom w:val="0"/>
                                              <w:divBdr>
                                                <w:top w:val="none" w:sz="0" w:space="0" w:color="auto"/>
                                                <w:left w:val="none" w:sz="0" w:space="0" w:color="auto"/>
                                                <w:bottom w:val="none" w:sz="0" w:space="0" w:color="auto"/>
                                                <w:right w:val="none" w:sz="0" w:space="0" w:color="auto"/>
                                              </w:divBdr>
                                              <w:divsChild>
                                                <w:div w:id="1121192617">
                                                  <w:marLeft w:val="0"/>
                                                  <w:marRight w:val="0"/>
                                                  <w:marTop w:val="0"/>
                                                  <w:marBottom w:val="0"/>
                                                  <w:divBdr>
                                                    <w:top w:val="none" w:sz="0" w:space="0" w:color="auto"/>
                                                    <w:left w:val="none" w:sz="0" w:space="0" w:color="auto"/>
                                                    <w:bottom w:val="none" w:sz="0" w:space="0" w:color="auto"/>
                                                    <w:right w:val="none" w:sz="0" w:space="0" w:color="auto"/>
                                                  </w:divBdr>
                                                  <w:divsChild>
                                                    <w:div w:id="1358265925">
                                                      <w:marLeft w:val="0"/>
                                                      <w:marRight w:val="0"/>
                                                      <w:marTop w:val="0"/>
                                                      <w:marBottom w:val="0"/>
                                                      <w:divBdr>
                                                        <w:top w:val="none" w:sz="0" w:space="0" w:color="auto"/>
                                                        <w:left w:val="none" w:sz="0" w:space="0" w:color="auto"/>
                                                        <w:bottom w:val="none" w:sz="0" w:space="0" w:color="auto"/>
                                                        <w:right w:val="none" w:sz="0" w:space="0" w:color="auto"/>
                                                      </w:divBdr>
                                                      <w:divsChild>
                                                        <w:div w:id="1286040976">
                                                          <w:marLeft w:val="0"/>
                                                          <w:marRight w:val="0"/>
                                                          <w:marTop w:val="0"/>
                                                          <w:marBottom w:val="0"/>
                                                          <w:divBdr>
                                                            <w:top w:val="none" w:sz="0" w:space="0" w:color="auto"/>
                                                            <w:left w:val="none" w:sz="0" w:space="0" w:color="auto"/>
                                                            <w:bottom w:val="none" w:sz="0" w:space="0" w:color="auto"/>
                                                            <w:right w:val="none" w:sz="0" w:space="0" w:color="auto"/>
                                                          </w:divBdr>
                                                          <w:divsChild>
                                                            <w:div w:id="151808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3915801">
      <w:bodyDiv w:val="1"/>
      <w:marLeft w:val="0"/>
      <w:marRight w:val="0"/>
      <w:marTop w:val="0"/>
      <w:marBottom w:val="0"/>
      <w:divBdr>
        <w:top w:val="none" w:sz="0" w:space="0" w:color="auto"/>
        <w:left w:val="none" w:sz="0" w:space="0" w:color="auto"/>
        <w:bottom w:val="none" w:sz="0" w:space="0" w:color="auto"/>
        <w:right w:val="none" w:sz="0" w:space="0" w:color="auto"/>
      </w:divBdr>
    </w:div>
    <w:div w:id="1741099890">
      <w:bodyDiv w:val="1"/>
      <w:marLeft w:val="0"/>
      <w:marRight w:val="0"/>
      <w:marTop w:val="0"/>
      <w:marBottom w:val="0"/>
      <w:divBdr>
        <w:top w:val="none" w:sz="0" w:space="0" w:color="auto"/>
        <w:left w:val="none" w:sz="0" w:space="0" w:color="auto"/>
        <w:bottom w:val="none" w:sz="0" w:space="0" w:color="auto"/>
        <w:right w:val="none" w:sz="0" w:space="0" w:color="auto"/>
      </w:divBdr>
    </w:div>
    <w:div w:id="1841846164">
      <w:bodyDiv w:val="1"/>
      <w:marLeft w:val="0"/>
      <w:marRight w:val="0"/>
      <w:marTop w:val="0"/>
      <w:marBottom w:val="0"/>
      <w:divBdr>
        <w:top w:val="none" w:sz="0" w:space="0" w:color="auto"/>
        <w:left w:val="none" w:sz="0" w:space="0" w:color="auto"/>
        <w:bottom w:val="none" w:sz="0" w:space="0" w:color="auto"/>
        <w:right w:val="none" w:sz="0" w:space="0" w:color="auto"/>
      </w:divBdr>
    </w:div>
    <w:div w:id="1996371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essa.rivera@gartner.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rtner.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artner.com/document/2780117" TargetMode="External"/><Relationship Id="rId4" Type="http://schemas.openxmlformats.org/officeDocument/2006/relationships/settings" Target="settings.xml"/><Relationship Id="rId9" Type="http://schemas.openxmlformats.org/officeDocument/2006/relationships/hyperlink" Target="mailto:rob.vandermeulen@gartner.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2D4A2-B06A-483E-9D33-4E517CBE4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754</Words>
  <Characters>4302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Gartner</Company>
  <LinksUpToDate>false</LinksUpToDate>
  <CharactersWithSpaces>5046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cpettey</dc:creator>
  <cp:lastModifiedBy>lgoasduf</cp:lastModifiedBy>
  <cp:revision>2</cp:revision>
  <cp:lastPrinted>2014-07-02T07:54:00Z</cp:lastPrinted>
  <dcterms:created xsi:type="dcterms:W3CDTF">2014-07-07T06:34:00Z</dcterms:created>
  <dcterms:modified xsi:type="dcterms:W3CDTF">2014-07-07T06:34:00Z</dcterms:modified>
</cp:coreProperties>
</file>