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9B" w:rsidRPr="004F0425" w:rsidRDefault="00BF719B">
      <w:pPr>
        <w:pStyle w:val="contact"/>
        <w:widowControl/>
        <w:tabs>
          <w:tab w:val="clear" w:pos="9180"/>
        </w:tabs>
        <w:rPr>
          <w:rFonts w:ascii="Arial" w:hAnsi="Arial"/>
        </w:rPr>
      </w:pPr>
    </w:p>
    <w:p w:rsidR="00BF719B" w:rsidRPr="004F0425" w:rsidRDefault="00BF719B">
      <w:pPr>
        <w:pStyle w:val="contact"/>
        <w:widowControl/>
        <w:tabs>
          <w:tab w:val="clear" w:pos="9180"/>
        </w:tabs>
        <w:rPr>
          <w:rFonts w:ascii="Arial" w:hAnsi="Arial"/>
        </w:rPr>
      </w:pPr>
      <w:r w:rsidRPr="004F0425">
        <w:rPr>
          <w:rFonts w:ascii="Arial" w:hAnsi="Arial"/>
        </w:rPr>
        <w:t>FOR IMMEDIATE RELEASE</w:t>
      </w:r>
    </w:p>
    <w:p w:rsidR="00BF719B" w:rsidRPr="004F0425" w:rsidRDefault="00BF719B">
      <w:pPr>
        <w:jc w:val="left"/>
        <w:rPr>
          <w:sz w:val="22"/>
        </w:rPr>
      </w:pPr>
    </w:p>
    <w:p w:rsidR="00BF7D00" w:rsidRPr="004F0425" w:rsidRDefault="00BF7D00" w:rsidP="00BF7D00">
      <w:pPr>
        <w:pStyle w:val="contact"/>
        <w:widowControl/>
        <w:rPr>
          <w:rFonts w:ascii="Arial" w:hAnsi="Arial"/>
          <w:smallCaps/>
          <w:color w:val="000000"/>
        </w:rPr>
      </w:pPr>
      <w:r w:rsidRPr="004F0425">
        <w:rPr>
          <w:rFonts w:ascii="Arial" w:hAnsi="Arial"/>
          <w:smallCaps/>
          <w:color w:val="000000"/>
        </w:rPr>
        <w:t>CONTACTS:</w:t>
      </w:r>
    </w:p>
    <w:p w:rsidR="00BF7D00" w:rsidRPr="004F0425" w:rsidRDefault="00BF7D00" w:rsidP="00BF7D00">
      <w:pPr>
        <w:pStyle w:val="contact"/>
        <w:widowControl/>
        <w:rPr>
          <w:rFonts w:ascii="Arial" w:hAnsi="Arial"/>
          <w:color w:val="000000"/>
        </w:rPr>
      </w:pPr>
      <w:r w:rsidRPr="004F0425">
        <w:rPr>
          <w:rFonts w:ascii="Arial" w:hAnsi="Arial"/>
          <w:color w:val="000000"/>
        </w:rPr>
        <w:t>Janessa Rivera</w:t>
      </w:r>
      <w:r w:rsidRPr="004F0425">
        <w:rPr>
          <w:rFonts w:ascii="Arial" w:hAnsi="Arial"/>
          <w:color w:val="000000"/>
        </w:rPr>
        <w:tab/>
        <w:t>Robert van der Meulen</w:t>
      </w:r>
    </w:p>
    <w:p w:rsidR="00BF7D00" w:rsidRPr="004F0425" w:rsidRDefault="00BF7D00" w:rsidP="00BF7D00">
      <w:pPr>
        <w:pStyle w:val="contact"/>
        <w:widowControl/>
        <w:rPr>
          <w:rFonts w:ascii="Arial" w:hAnsi="Arial"/>
          <w:color w:val="000000"/>
        </w:rPr>
      </w:pPr>
      <w:r w:rsidRPr="004F0425">
        <w:rPr>
          <w:rFonts w:ascii="Arial" w:hAnsi="Arial"/>
          <w:color w:val="000000"/>
        </w:rPr>
        <w:t>Gartner</w:t>
      </w:r>
      <w:r w:rsidRPr="004F0425">
        <w:rPr>
          <w:rFonts w:ascii="Arial" w:hAnsi="Arial"/>
          <w:color w:val="000000"/>
        </w:rPr>
        <w:tab/>
        <w:t>Gartner</w:t>
      </w:r>
    </w:p>
    <w:p w:rsidR="00BF7D00" w:rsidRPr="004F0425" w:rsidRDefault="00BF7D00" w:rsidP="00BF7D00">
      <w:pPr>
        <w:pStyle w:val="contact"/>
        <w:widowControl/>
        <w:rPr>
          <w:rFonts w:ascii="Arial" w:hAnsi="Arial"/>
          <w:color w:val="000000"/>
        </w:rPr>
      </w:pPr>
      <w:r w:rsidRPr="004F0425">
        <w:rPr>
          <w:rFonts w:ascii="Arial" w:hAnsi="Arial"/>
          <w:color w:val="000000"/>
        </w:rPr>
        <w:t xml:space="preserve">+ 1 </w:t>
      </w:r>
      <w:r w:rsidR="0008519B" w:rsidRPr="004F0425">
        <w:rPr>
          <w:rFonts w:ascii="Arial" w:hAnsi="Arial"/>
        </w:rPr>
        <w:t xml:space="preserve">408 709 </w:t>
      </w:r>
      <w:r w:rsidRPr="004F0425">
        <w:rPr>
          <w:rFonts w:ascii="Arial" w:hAnsi="Arial"/>
        </w:rPr>
        <w:t>8220</w:t>
      </w:r>
      <w:r w:rsidRPr="004F0425">
        <w:rPr>
          <w:rFonts w:ascii="Arial" w:hAnsi="Arial"/>
          <w:color w:val="000000"/>
        </w:rPr>
        <w:tab/>
        <w:t>+ 44 (0) 1784 267 738</w:t>
      </w:r>
    </w:p>
    <w:p w:rsidR="00BF7D00" w:rsidRPr="004F0425" w:rsidRDefault="0044155D" w:rsidP="00BF7D00">
      <w:pPr>
        <w:pStyle w:val="contact"/>
        <w:widowControl/>
        <w:spacing w:after="160"/>
        <w:rPr>
          <w:rFonts w:ascii="Arial" w:hAnsi="Arial" w:cs="Arial"/>
          <w:color w:val="000000"/>
        </w:rPr>
      </w:pPr>
      <w:hyperlink r:id="rId8" w:history="1">
        <w:r w:rsidR="00BF7D00" w:rsidRPr="004F0425">
          <w:rPr>
            <w:rStyle w:val="Hyperlink"/>
            <w:rFonts w:ascii="Arial" w:hAnsi="Arial" w:cs="Arial"/>
          </w:rPr>
          <w:t>janessa.rivera@gartner.com</w:t>
        </w:r>
      </w:hyperlink>
      <w:r w:rsidR="00BF7D00" w:rsidRPr="004F0425">
        <w:rPr>
          <w:rFonts w:ascii="Arial" w:hAnsi="Arial" w:cs="Arial"/>
          <w:color w:val="000000"/>
        </w:rPr>
        <w:t xml:space="preserve"> </w:t>
      </w:r>
      <w:r w:rsidR="00BF7D00" w:rsidRPr="004F0425">
        <w:rPr>
          <w:rFonts w:ascii="Arial" w:hAnsi="Arial" w:cs="Arial"/>
          <w:color w:val="000000"/>
        </w:rPr>
        <w:tab/>
      </w:r>
      <w:hyperlink r:id="rId9" w:history="1">
        <w:r w:rsidR="00BF7D00" w:rsidRPr="004F0425">
          <w:rPr>
            <w:rStyle w:val="Hyperlink"/>
            <w:rFonts w:ascii="Arial" w:hAnsi="Arial" w:cs="Arial"/>
          </w:rPr>
          <w:t>rob.vandermeulen@gartner.com</w:t>
        </w:r>
      </w:hyperlink>
    </w:p>
    <w:p w:rsidR="00BF719B" w:rsidRPr="004F0425" w:rsidRDefault="00BF719B">
      <w:pPr>
        <w:pStyle w:val="contact"/>
        <w:widowControl/>
        <w:rPr>
          <w:rFonts w:ascii="Arial" w:hAnsi="Arial"/>
          <w:color w:val="000000"/>
        </w:rPr>
      </w:pPr>
    </w:p>
    <w:p w:rsidR="00892F2A" w:rsidRPr="004F0425" w:rsidRDefault="00892F2A" w:rsidP="00892F2A">
      <w:pPr>
        <w:spacing w:after="120"/>
        <w:jc w:val="center"/>
        <w:rPr>
          <w:b/>
          <w:sz w:val="24"/>
        </w:rPr>
      </w:pPr>
      <w:r w:rsidRPr="004F0425">
        <w:rPr>
          <w:b/>
          <w:sz w:val="24"/>
        </w:rPr>
        <w:t>Gartner Says Worldwide Server Shipments Market Grew 1.4 Per</w:t>
      </w:r>
      <w:r w:rsidR="004F0425">
        <w:rPr>
          <w:b/>
          <w:sz w:val="24"/>
        </w:rPr>
        <w:t xml:space="preserve"> C</w:t>
      </w:r>
      <w:r w:rsidRPr="004F0425">
        <w:rPr>
          <w:b/>
          <w:sz w:val="24"/>
        </w:rPr>
        <w:t>ent in the First Quarter</w:t>
      </w:r>
      <w:r w:rsidRPr="004F0425">
        <w:rPr>
          <w:b/>
          <w:sz w:val="24"/>
        </w:rPr>
        <w:br/>
        <w:t>of 2014, While Revenue Declined 4.1 Per</w:t>
      </w:r>
      <w:r w:rsidR="004F0425">
        <w:rPr>
          <w:b/>
          <w:sz w:val="24"/>
        </w:rPr>
        <w:t xml:space="preserve"> C</w:t>
      </w:r>
      <w:r w:rsidRPr="004F0425">
        <w:rPr>
          <w:b/>
          <w:sz w:val="24"/>
        </w:rPr>
        <w:t>ent</w:t>
      </w:r>
    </w:p>
    <w:p w:rsidR="00B620FE" w:rsidRPr="004F0425" w:rsidRDefault="00B620FE" w:rsidP="00892F2A">
      <w:pPr>
        <w:spacing w:after="120"/>
        <w:jc w:val="center"/>
        <w:rPr>
          <w:b/>
          <w:sz w:val="24"/>
        </w:rPr>
      </w:pPr>
      <w:r w:rsidRPr="004F0425">
        <w:rPr>
          <w:b/>
          <w:sz w:val="24"/>
        </w:rPr>
        <w:t>In EMEA, Server Revenue Returned to Growth in</w:t>
      </w:r>
      <w:r w:rsidR="00D42665">
        <w:rPr>
          <w:b/>
          <w:sz w:val="24"/>
        </w:rPr>
        <w:t xml:space="preserve"> the</w:t>
      </w:r>
      <w:r w:rsidRPr="004F0425">
        <w:rPr>
          <w:b/>
          <w:sz w:val="24"/>
        </w:rPr>
        <w:t xml:space="preserve"> First Quarter of 2014</w:t>
      </w:r>
    </w:p>
    <w:p w:rsidR="00892F2A" w:rsidRPr="004F0425" w:rsidRDefault="00892F2A" w:rsidP="00892F2A">
      <w:pPr>
        <w:pStyle w:val="contact"/>
        <w:tabs>
          <w:tab w:val="clear" w:pos="9180"/>
        </w:tabs>
        <w:rPr>
          <w:rFonts w:ascii="Arial" w:hAnsi="Arial"/>
          <w:szCs w:val="22"/>
        </w:rPr>
      </w:pPr>
      <w:r w:rsidRPr="004F0425">
        <w:rPr>
          <w:rFonts w:ascii="Arial" w:hAnsi="Arial"/>
          <w:szCs w:val="22"/>
        </w:rPr>
        <w:t xml:space="preserve">STAMFORD, Conn., </w:t>
      </w:r>
      <w:r w:rsidR="004F0425">
        <w:rPr>
          <w:rFonts w:ascii="Arial" w:hAnsi="Arial"/>
          <w:szCs w:val="22"/>
        </w:rPr>
        <w:t>28</w:t>
      </w:r>
      <w:r w:rsidR="0044155D" w:rsidRPr="0044155D">
        <w:rPr>
          <w:rFonts w:ascii="Arial" w:hAnsi="Arial"/>
          <w:szCs w:val="22"/>
          <w:vertAlign w:val="superscript"/>
        </w:rPr>
        <w:t>th</w:t>
      </w:r>
      <w:r w:rsidR="00D42665">
        <w:rPr>
          <w:rFonts w:ascii="Arial" w:hAnsi="Arial"/>
          <w:szCs w:val="22"/>
        </w:rPr>
        <w:t xml:space="preserve"> </w:t>
      </w:r>
      <w:r w:rsidRPr="004F0425">
        <w:rPr>
          <w:rFonts w:ascii="Arial" w:hAnsi="Arial"/>
          <w:szCs w:val="22"/>
        </w:rPr>
        <w:t xml:space="preserve">May, 2014 — </w:t>
      </w:r>
      <w:proofErr w:type="gramStart"/>
      <w:r w:rsidRPr="004F0425">
        <w:rPr>
          <w:rFonts w:ascii="Arial" w:hAnsi="Arial"/>
          <w:szCs w:val="22"/>
        </w:rPr>
        <w:t>Worldwide</w:t>
      </w:r>
      <w:proofErr w:type="gramEnd"/>
      <w:r w:rsidRPr="004F0425">
        <w:rPr>
          <w:rFonts w:ascii="Arial" w:hAnsi="Arial"/>
          <w:szCs w:val="22"/>
        </w:rPr>
        <w:t xml:space="preserve"> server shipments grew 1.4 </w:t>
      </w:r>
      <w:r w:rsidR="004F0425">
        <w:rPr>
          <w:rFonts w:ascii="Arial" w:hAnsi="Arial"/>
          <w:szCs w:val="22"/>
        </w:rPr>
        <w:t>per cent</w:t>
      </w:r>
      <w:r w:rsidRPr="004F0425">
        <w:rPr>
          <w:rFonts w:ascii="Arial" w:hAnsi="Arial"/>
          <w:szCs w:val="22"/>
        </w:rPr>
        <w:t xml:space="preserve"> in the first quarter of 2014, while server revenue declined 4.1 </w:t>
      </w:r>
      <w:r w:rsidR="004F0425">
        <w:rPr>
          <w:rFonts w:ascii="Arial" w:hAnsi="Arial"/>
          <w:szCs w:val="22"/>
        </w:rPr>
        <w:t>per cent</w:t>
      </w:r>
      <w:r w:rsidRPr="004F0425">
        <w:rPr>
          <w:rFonts w:ascii="Arial" w:hAnsi="Arial"/>
          <w:szCs w:val="22"/>
        </w:rPr>
        <w:t xml:space="preserve"> year over year, according to Gartner, Inc.</w:t>
      </w:r>
    </w:p>
    <w:p w:rsidR="00892F2A" w:rsidRPr="004F0425" w:rsidRDefault="00892F2A" w:rsidP="00892F2A">
      <w:pPr>
        <w:pStyle w:val="contact"/>
        <w:tabs>
          <w:tab w:val="clear" w:pos="9180"/>
        </w:tabs>
        <w:rPr>
          <w:rFonts w:ascii="Arial" w:hAnsi="Arial"/>
          <w:szCs w:val="22"/>
        </w:rPr>
      </w:pPr>
    </w:p>
    <w:p w:rsidR="00892F2A" w:rsidRPr="004F0425" w:rsidRDefault="00892F2A" w:rsidP="00892F2A">
      <w:pPr>
        <w:jc w:val="left"/>
        <w:rPr>
          <w:rFonts w:cs="Arial"/>
          <w:color w:val="1F497D"/>
          <w:sz w:val="22"/>
          <w:szCs w:val="22"/>
        </w:rPr>
      </w:pPr>
      <w:r w:rsidRPr="004F0425">
        <w:rPr>
          <w:rFonts w:cs="Arial"/>
          <w:sz w:val="22"/>
          <w:szCs w:val="22"/>
        </w:rPr>
        <w:t xml:space="preserve">"The first quarter of 2014 produced relatively weak growth on a global level with a variation in results by region," said Jeffrey Hewitt, research vice president at Gartner. All regions showed a decline in either shipments or revenue except for Asia/Pacific. Asia/Pacific posted a 3.3 </w:t>
      </w:r>
      <w:r w:rsidR="004F0425">
        <w:rPr>
          <w:rFonts w:cs="Arial"/>
          <w:sz w:val="22"/>
          <w:szCs w:val="22"/>
        </w:rPr>
        <w:t>per cent</w:t>
      </w:r>
      <w:r w:rsidRPr="004F0425">
        <w:rPr>
          <w:rFonts w:cs="Arial"/>
          <w:sz w:val="22"/>
          <w:szCs w:val="22"/>
        </w:rPr>
        <w:t xml:space="preserve"> increase in revenue and an 18 </w:t>
      </w:r>
      <w:r w:rsidR="004F0425">
        <w:rPr>
          <w:rFonts w:cs="Arial"/>
          <w:sz w:val="22"/>
          <w:szCs w:val="22"/>
        </w:rPr>
        <w:t>per cent</w:t>
      </w:r>
      <w:r w:rsidRPr="004F0425">
        <w:rPr>
          <w:rFonts w:cs="Arial"/>
          <w:sz w:val="22"/>
          <w:szCs w:val="22"/>
        </w:rPr>
        <w:t xml:space="preserve"> increase in shipments. </w:t>
      </w:r>
      <w:r w:rsidR="006C2A27" w:rsidRPr="004F0425">
        <w:rPr>
          <w:rFonts w:cs="Arial"/>
          <w:sz w:val="22"/>
          <w:szCs w:val="22"/>
        </w:rPr>
        <w:t xml:space="preserve">In </w:t>
      </w:r>
      <w:r w:rsidRPr="004F0425">
        <w:rPr>
          <w:rFonts w:cs="Arial"/>
          <w:sz w:val="22"/>
          <w:szCs w:val="22"/>
        </w:rPr>
        <w:t xml:space="preserve">Japan </w:t>
      </w:r>
      <w:r w:rsidR="006C2A27" w:rsidRPr="004F0425">
        <w:rPr>
          <w:rFonts w:cs="Arial"/>
          <w:sz w:val="22"/>
          <w:szCs w:val="22"/>
        </w:rPr>
        <w:t>shipments increased</w:t>
      </w:r>
      <w:r w:rsidRPr="004F0425">
        <w:rPr>
          <w:rFonts w:cs="Arial"/>
          <w:sz w:val="22"/>
          <w:szCs w:val="22"/>
        </w:rPr>
        <w:t xml:space="preserve"> by 13.5 </w:t>
      </w:r>
      <w:r w:rsidR="004F0425">
        <w:rPr>
          <w:rFonts w:cs="Arial"/>
          <w:sz w:val="22"/>
          <w:szCs w:val="22"/>
        </w:rPr>
        <w:t>per cent</w:t>
      </w:r>
      <w:r w:rsidRPr="004F0425">
        <w:rPr>
          <w:rFonts w:cs="Arial"/>
          <w:sz w:val="22"/>
          <w:szCs w:val="22"/>
        </w:rPr>
        <w:t xml:space="preserve">, but </w:t>
      </w:r>
      <w:r w:rsidR="006C2A27" w:rsidRPr="004F0425">
        <w:rPr>
          <w:rFonts w:cs="Arial"/>
          <w:sz w:val="22"/>
          <w:szCs w:val="22"/>
        </w:rPr>
        <w:t>revenue declined</w:t>
      </w:r>
      <w:r w:rsidRPr="004F0425">
        <w:rPr>
          <w:rFonts w:cs="Arial"/>
          <w:sz w:val="22"/>
          <w:szCs w:val="22"/>
        </w:rPr>
        <w:t xml:space="preserve"> by 9.2 </w:t>
      </w:r>
      <w:r w:rsidR="004F0425">
        <w:rPr>
          <w:rFonts w:cs="Arial"/>
          <w:sz w:val="22"/>
          <w:szCs w:val="22"/>
        </w:rPr>
        <w:t>per cent</w:t>
      </w:r>
      <w:r w:rsidR="00D42665">
        <w:rPr>
          <w:rFonts w:cs="Arial"/>
          <w:sz w:val="22"/>
          <w:szCs w:val="22"/>
        </w:rPr>
        <w:t>.</w:t>
      </w:r>
    </w:p>
    <w:p w:rsidR="00892F2A" w:rsidRPr="004F0425" w:rsidRDefault="00892F2A" w:rsidP="00892F2A">
      <w:pPr>
        <w:pStyle w:val="contact"/>
        <w:rPr>
          <w:rFonts w:ascii="Arial" w:hAnsi="Arial"/>
          <w:szCs w:val="22"/>
        </w:rPr>
      </w:pPr>
    </w:p>
    <w:p w:rsidR="00892F2A" w:rsidRPr="004F0425" w:rsidRDefault="00892F2A" w:rsidP="00892F2A">
      <w:pPr>
        <w:pStyle w:val="contact"/>
        <w:rPr>
          <w:rFonts w:ascii="Arial" w:hAnsi="Arial"/>
          <w:szCs w:val="22"/>
        </w:rPr>
      </w:pPr>
      <w:r w:rsidRPr="004F0425">
        <w:rPr>
          <w:rFonts w:ascii="Arial" w:hAnsi="Arial"/>
          <w:szCs w:val="22"/>
        </w:rPr>
        <w:t>"</w:t>
      </w:r>
      <w:proofErr w:type="gramStart"/>
      <w:r w:rsidRPr="004F0425">
        <w:rPr>
          <w:rFonts w:ascii="Arial" w:hAnsi="Arial"/>
          <w:szCs w:val="22"/>
        </w:rPr>
        <w:t>x86</w:t>
      </w:r>
      <w:proofErr w:type="gramEnd"/>
      <w:r w:rsidRPr="004F0425">
        <w:rPr>
          <w:rFonts w:ascii="Arial" w:hAnsi="Arial"/>
          <w:szCs w:val="22"/>
        </w:rPr>
        <w:t xml:space="preserve"> servers managed to produce an increase with growth of 1.7 </w:t>
      </w:r>
      <w:r w:rsidR="004F0425">
        <w:rPr>
          <w:rFonts w:ascii="Arial" w:hAnsi="Arial"/>
          <w:szCs w:val="22"/>
        </w:rPr>
        <w:t>per cent</w:t>
      </w:r>
      <w:r w:rsidRPr="004F0425">
        <w:rPr>
          <w:rFonts w:ascii="Arial" w:hAnsi="Arial"/>
          <w:szCs w:val="22"/>
        </w:rPr>
        <w:t xml:space="preserve"> in units for the year and 2.8 </w:t>
      </w:r>
      <w:r w:rsidR="004F0425">
        <w:rPr>
          <w:rFonts w:ascii="Arial" w:hAnsi="Arial"/>
          <w:szCs w:val="22"/>
        </w:rPr>
        <w:t>per cent</w:t>
      </w:r>
      <w:r w:rsidRPr="004F0425">
        <w:rPr>
          <w:rFonts w:ascii="Arial" w:hAnsi="Arial"/>
          <w:szCs w:val="22"/>
        </w:rPr>
        <w:t xml:space="preserve"> in revenue," </w:t>
      </w:r>
      <w:r w:rsidR="004F0425">
        <w:rPr>
          <w:rFonts w:ascii="Arial" w:hAnsi="Arial"/>
          <w:szCs w:val="22"/>
        </w:rPr>
        <w:t>Mr</w:t>
      </w:r>
      <w:r w:rsidRPr="004F0425">
        <w:rPr>
          <w:rFonts w:ascii="Arial" w:hAnsi="Arial"/>
          <w:szCs w:val="22"/>
        </w:rPr>
        <w:t xml:space="preserve"> Hewitt said. "RISC/Itanium Unix servers fell globally in the first quarter of 2014 — down 19.9 </w:t>
      </w:r>
      <w:r w:rsidR="004F0425">
        <w:rPr>
          <w:rFonts w:ascii="Arial" w:hAnsi="Arial"/>
          <w:szCs w:val="22"/>
        </w:rPr>
        <w:t>per cent</w:t>
      </w:r>
      <w:r w:rsidRPr="004F0425">
        <w:rPr>
          <w:rFonts w:ascii="Arial" w:hAnsi="Arial"/>
          <w:szCs w:val="22"/>
        </w:rPr>
        <w:t xml:space="preserve"> in shipments and a 16.9 </w:t>
      </w:r>
      <w:r w:rsidR="004F0425">
        <w:rPr>
          <w:rFonts w:ascii="Arial" w:hAnsi="Arial"/>
          <w:szCs w:val="22"/>
        </w:rPr>
        <w:t>per cent</w:t>
      </w:r>
      <w:r w:rsidRPr="004F0425">
        <w:rPr>
          <w:rFonts w:ascii="Arial" w:hAnsi="Arial"/>
          <w:szCs w:val="22"/>
        </w:rPr>
        <w:t xml:space="preserve"> decline in vendor revenue compared with the same quarter last year. The 'other' CPU category, which is primarily mainframes, showed a decline of 37.6 </w:t>
      </w:r>
      <w:r w:rsidR="004F0425">
        <w:rPr>
          <w:rFonts w:ascii="Arial" w:hAnsi="Arial"/>
          <w:szCs w:val="22"/>
        </w:rPr>
        <w:t>per cent</w:t>
      </w:r>
      <w:r w:rsidRPr="004F0425">
        <w:rPr>
          <w:rFonts w:ascii="Arial" w:hAnsi="Arial"/>
          <w:szCs w:val="22"/>
        </w:rPr>
        <w:t xml:space="preserve"> year over year in terms of revenue.</w:t>
      </w:r>
      <w:r w:rsidRPr="004F0425">
        <w:rPr>
          <w:rFonts w:ascii="Arial" w:hAnsi="Arial" w:cs="Courier New"/>
          <w:szCs w:val="22"/>
        </w:rPr>
        <w:t>"</w:t>
      </w:r>
    </w:p>
    <w:p w:rsidR="00892F2A" w:rsidRPr="004F0425" w:rsidRDefault="00892F2A" w:rsidP="00892F2A">
      <w:pPr>
        <w:pStyle w:val="contact"/>
        <w:rPr>
          <w:rFonts w:ascii="Arial" w:hAnsi="Arial"/>
          <w:szCs w:val="22"/>
        </w:rPr>
      </w:pPr>
    </w:p>
    <w:p w:rsidR="00892F2A" w:rsidRPr="004F0425" w:rsidRDefault="00892F2A" w:rsidP="00892F2A">
      <w:pPr>
        <w:pStyle w:val="contact"/>
        <w:tabs>
          <w:tab w:val="clear" w:pos="9180"/>
        </w:tabs>
        <w:rPr>
          <w:rFonts w:ascii="Arial" w:hAnsi="Arial"/>
        </w:rPr>
      </w:pPr>
      <w:r w:rsidRPr="004F0425">
        <w:rPr>
          <w:rFonts w:ascii="Arial" w:hAnsi="Arial"/>
        </w:rPr>
        <w:t xml:space="preserve">HP led the worldwide server market in revenue terms in the first quarter of 2014 (see Table 1). The company ended the quarter with $2.9 billion in revenue, for a total share of 25.5 </w:t>
      </w:r>
      <w:r w:rsidR="004F0425">
        <w:rPr>
          <w:rFonts w:ascii="Arial" w:hAnsi="Arial"/>
        </w:rPr>
        <w:t>per cent</w:t>
      </w:r>
      <w:r w:rsidRPr="004F0425">
        <w:rPr>
          <w:rFonts w:ascii="Arial" w:hAnsi="Arial"/>
        </w:rPr>
        <w:t xml:space="preserve"> worldwide. This was down 2.3 </w:t>
      </w:r>
      <w:r w:rsidR="004F0425">
        <w:rPr>
          <w:rFonts w:ascii="Arial" w:hAnsi="Arial"/>
        </w:rPr>
        <w:t>per cent</w:t>
      </w:r>
      <w:r w:rsidRPr="004F0425">
        <w:rPr>
          <w:rFonts w:ascii="Arial" w:hAnsi="Arial"/>
        </w:rPr>
        <w:t xml:space="preserve"> compared with the same quarter in 2013.</w:t>
      </w:r>
    </w:p>
    <w:p w:rsidR="00892F2A" w:rsidRPr="004F0425" w:rsidRDefault="00892F2A" w:rsidP="00892F2A">
      <w:pPr>
        <w:pStyle w:val="contact"/>
        <w:tabs>
          <w:tab w:val="clear" w:pos="9180"/>
        </w:tabs>
        <w:rPr>
          <w:rFonts w:ascii="Arial" w:hAnsi="Arial"/>
        </w:rPr>
      </w:pPr>
    </w:p>
    <w:p w:rsidR="00892F2A" w:rsidRPr="004F0425" w:rsidRDefault="00892F2A" w:rsidP="00892F2A">
      <w:pPr>
        <w:pStyle w:val="contact"/>
        <w:tabs>
          <w:tab w:val="clear" w:pos="9180"/>
        </w:tabs>
        <w:rPr>
          <w:rFonts w:ascii="Arial" w:hAnsi="Arial"/>
        </w:rPr>
      </w:pPr>
      <w:r w:rsidRPr="004F0425">
        <w:rPr>
          <w:rFonts w:ascii="Arial" w:hAnsi="Arial"/>
        </w:rPr>
        <w:t xml:space="preserve">Cisco was the only company in the top five that increased revenue in the first quarter of 2014, with growth of 37 </w:t>
      </w:r>
      <w:r w:rsidR="004F0425">
        <w:rPr>
          <w:rFonts w:ascii="Arial" w:hAnsi="Arial"/>
        </w:rPr>
        <w:t>per cent</w:t>
      </w:r>
      <w:r w:rsidRPr="004F0425">
        <w:rPr>
          <w:rFonts w:ascii="Arial" w:hAnsi="Arial"/>
        </w:rPr>
        <w:t xml:space="preserve"> compared with the same quarter in 2013.</w:t>
      </w:r>
    </w:p>
    <w:p w:rsidR="00892F2A" w:rsidRPr="004F0425" w:rsidRDefault="00892F2A" w:rsidP="00892F2A">
      <w:pPr>
        <w:pStyle w:val="contact"/>
        <w:tabs>
          <w:tab w:val="clear" w:pos="9180"/>
        </w:tabs>
        <w:rPr>
          <w:rFonts w:ascii="Arial" w:hAnsi="Arial"/>
        </w:rPr>
      </w:pPr>
    </w:p>
    <w:p w:rsidR="00892F2A" w:rsidRPr="004F0425" w:rsidRDefault="00892F2A" w:rsidP="00892F2A">
      <w:pPr>
        <w:jc w:val="left"/>
        <w:rPr>
          <w:b/>
          <w:sz w:val="22"/>
        </w:rPr>
      </w:pPr>
      <w:r w:rsidRPr="004F0425">
        <w:rPr>
          <w:b/>
          <w:sz w:val="22"/>
        </w:rPr>
        <w:t>Table 1</w:t>
      </w:r>
      <w:r w:rsidRPr="004F0425">
        <w:rPr>
          <w:b/>
          <w:sz w:val="22"/>
        </w:rPr>
        <w:br/>
        <w:t>Worldwide: Server Vendor Revenue Estimates, 1Q14 (US Dollars)</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892F2A" w:rsidRPr="004F0425" w:rsidTr="00EF15A2">
        <w:trPr>
          <w:trHeight w:val="225"/>
        </w:trPr>
        <w:tc>
          <w:tcPr>
            <w:tcW w:w="1872" w:type="dxa"/>
            <w:tcBorders>
              <w:top w:val="single" w:sz="4" w:space="0" w:color="auto"/>
            </w:tcBorders>
            <w:vAlign w:val="bottom"/>
          </w:tcPr>
          <w:p w:rsidR="00892F2A" w:rsidRPr="004F0425" w:rsidRDefault="00892F2A" w:rsidP="00EF15A2">
            <w:pPr>
              <w:jc w:val="left"/>
              <w:rPr>
                <w:rFonts w:eastAsia="Batang"/>
                <w:b/>
              </w:rPr>
            </w:pPr>
            <w:r w:rsidRPr="004F0425">
              <w:rPr>
                <w:rFonts w:eastAsia="Batang"/>
                <w:b/>
              </w:rPr>
              <w:t>Company</w:t>
            </w:r>
          </w:p>
        </w:tc>
        <w:tc>
          <w:tcPr>
            <w:tcW w:w="1728" w:type="dxa"/>
            <w:tcBorders>
              <w:top w:val="single" w:sz="4" w:space="0" w:color="auto"/>
            </w:tcBorders>
            <w:vAlign w:val="bottom"/>
          </w:tcPr>
          <w:p w:rsidR="00892F2A" w:rsidRPr="004F0425" w:rsidRDefault="00892F2A" w:rsidP="00EF15A2">
            <w:pPr>
              <w:jc w:val="right"/>
              <w:rPr>
                <w:rFonts w:eastAsia="Batang"/>
                <w:b/>
              </w:rPr>
            </w:pPr>
            <w:r w:rsidRPr="004F0425">
              <w:rPr>
                <w:rFonts w:eastAsia="Batang"/>
                <w:b/>
              </w:rPr>
              <w:t>1Q14</w:t>
            </w:r>
          </w:p>
          <w:p w:rsidR="00892F2A" w:rsidRPr="004F0425" w:rsidRDefault="00892F2A" w:rsidP="00EF15A2">
            <w:pPr>
              <w:jc w:val="right"/>
              <w:rPr>
                <w:rFonts w:eastAsia="Batang"/>
                <w:b/>
              </w:rPr>
            </w:pPr>
            <w:r w:rsidRPr="004F0425">
              <w:rPr>
                <w:rFonts w:eastAsia="Batang"/>
                <w:b/>
              </w:rPr>
              <w:t>Revenue</w:t>
            </w:r>
          </w:p>
        </w:tc>
        <w:tc>
          <w:tcPr>
            <w:tcW w:w="1440"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1Q14 Market Share (%)</w:t>
            </w:r>
          </w:p>
        </w:tc>
        <w:tc>
          <w:tcPr>
            <w:tcW w:w="1728" w:type="dxa"/>
            <w:tcBorders>
              <w:top w:val="single" w:sz="4" w:space="0" w:color="auto"/>
            </w:tcBorders>
            <w:vAlign w:val="bottom"/>
          </w:tcPr>
          <w:p w:rsidR="00892F2A" w:rsidRPr="004F0425" w:rsidRDefault="00892F2A" w:rsidP="00EF15A2">
            <w:pPr>
              <w:jc w:val="right"/>
              <w:rPr>
                <w:rFonts w:eastAsia="Batang"/>
                <w:b/>
              </w:rPr>
            </w:pPr>
            <w:r w:rsidRPr="004F0425">
              <w:rPr>
                <w:rFonts w:eastAsia="Batang"/>
                <w:b/>
              </w:rPr>
              <w:t>1Q13</w:t>
            </w:r>
          </w:p>
          <w:p w:rsidR="00892F2A" w:rsidRPr="004F0425" w:rsidRDefault="00892F2A" w:rsidP="00EF15A2">
            <w:pPr>
              <w:jc w:val="right"/>
              <w:rPr>
                <w:rFonts w:eastAsia="Batang"/>
                <w:b/>
              </w:rPr>
            </w:pPr>
            <w:r w:rsidRPr="004F0425">
              <w:rPr>
                <w:rFonts w:eastAsia="Batang"/>
                <w:b/>
              </w:rPr>
              <w:t>Revenue</w:t>
            </w:r>
          </w:p>
        </w:tc>
        <w:tc>
          <w:tcPr>
            <w:tcW w:w="1440"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1Q13 Market Share (%)</w:t>
            </w:r>
          </w:p>
        </w:tc>
        <w:tc>
          <w:tcPr>
            <w:tcW w:w="1584"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1Q14-1Q13 Growth (%)</w:t>
            </w:r>
          </w:p>
        </w:tc>
      </w:tr>
      <w:tr w:rsidR="00892F2A" w:rsidRPr="004F0425" w:rsidTr="00EF15A2">
        <w:trPr>
          <w:trHeight w:val="225"/>
        </w:trPr>
        <w:tc>
          <w:tcPr>
            <w:tcW w:w="1872" w:type="dxa"/>
            <w:tcBorders>
              <w:top w:val="single" w:sz="4" w:space="0" w:color="auto"/>
            </w:tcBorders>
            <w:vAlign w:val="bottom"/>
          </w:tcPr>
          <w:p w:rsidR="00892F2A" w:rsidRPr="004F0425" w:rsidRDefault="00892F2A" w:rsidP="00EF15A2">
            <w:pPr>
              <w:rPr>
                <w:rFonts w:cs="Arial"/>
              </w:rPr>
            </w:pPr>
            <w:r w:rsidRPr="004F0425">
              <w:rPr>
                <w:rFonts w:cs="Arial"/>
              </w:rPr>
              <w:t>HP</w:t>
            </w:r>
          </w:p>
        </w:tc>
        <w:tc>
          <w:tcPr>
            <w:tcW w:w="1728" w:type="dxa"/>
            <w:tcBorders>
              <w:top w:val="single" w:sz="4" w:space="0" w:color="auto"/>
            </w:tcBorders>
            <w:vAlign w:val="bottom"/>
          </w:tcPr>
          <w:p w:rsidR="00892F2A" w:rsidRPr="004F0425" w:rsidRDefault="00892F2A" w:rsidP="00EF15A2">
            <w:pPr>
              <w:jc w:val="right"/>
              <w:rPr>
                <w:rFonts w:cs="Arial"/>
              </w:rPr>
            </w:pPr>
            <w:r w:rsidRPr="004F0425">
              <w:rPr>
                <w:rFonts w:cs="Arial"/>
              </w:rPr>
              <w:t>2,890,992,229</w:t>
            </w:r>
          </w:p>
        </w:tc>
        <w:tc>
          <w:tcPr>
            <w:tcW w:w="1440" w:type="dxa"/>
            <w:tcBorders>
              <w:top w:val="single" w:sz="4" w:space="0" w:color="auto"/>
            </w:tcBorders>
            <w:vAlign w:val="bottom"/>
          </w:tcPr>
          <w:p w:rsidR="00892F2A" w:rsidRPr="004F0425" w:rsidRDefault="00892F2A" w:rsidP="00EF15A2">
            <w:pPr>
              <w:jc w:val="right"/>
              <w:rPr>
                <w:rFonts w:cs="Arial"/>
              </w:rPr>
            </w:pPr>
            <w:r w:rsidRPr="004F0425">
              <w:rPr>
                <w:rFonts w:cs="Arial"/>
              </w:rPr>
              <w:t>25.5</w:t>
            </w:r>
          </w:p>
        </w:tc>
        <w:tc>
          <w:tcPr>
            <w:tcW w:w="1728" w:type="dxa"/>
            <w:tcBorders>
              <w:top w:val="single" w:sz="4" w:space="0" w:color="auto"/>
            </w:tcBorders>
            <w:vAlign w:val="bottom"/>
          </w:tcPr>
          <w:p w:rsidR="00892F2A" w:rsidRPr="004F0425" w:rsidRDefault="00892F2A" w:rsidP="00EF15A2">
            <w:pPr>
              <w:jc w:val="right"/>
              <w:rPr>
                <w:rFonts w:cs="Arial"/>
              </w:rPr>
            </w:pPr>
            <w:r w:rsidRPr="004F0425">
              <w:rPr>
                <w:rFonts w:cs="Arial"/>
              </w:rPr>
              <w:t>2,959,030,197</w:t>
            </w:r>
          </w:p>
        </w:tc>
        <w:tc>
          <w:tcPr>
            <w:tcW w:w="1440" w:type="dxa"/>
            <w:tcBorders>
              <w:top w:val="single" w:sz="4" w:space="0" w:color="auto"/>
            </w:tcBorders>
            <w:vAlign w:val="bottom"/>
          </w:tcPr>
          <w:p w:rsidR="00892F2A" w:rsidRPr="004F0425" w:rsidRDefault="00892F2A" w:rsidP="00EF15A2">
            <w:pPr>
              <w:jc w:val="right"/>
              <w:rPr>
                <w:rFonts w:cs="Arial"/>
              </w:rPr>
            </w:pPr>
            <w:r w:rsidRPr="004F0425">
              <w:rPr>
                <w:rFonts w:cs="Arial"/>
              </w:rPr>
              <w:t>25.0</w:t>
            </w:r>
          </w:p>
        </w:tc>
        <w:tc>
          <w:tcPr>
            <w:tcW w:w="1584" w:type="dxa"/>
            <w:tcBorders>
              <w:top w:val="single" w:sz="4" w:space="0" w:color="auto"/>
            </w:tcBorders>
            <w:vAlign w:val="bottom"/>
          </w:tcPr>
          <w:p w:rsidR="00892F2A" w:rsidRPr="004F0425" w:rsidRDefault="00892F2A" w:rsidP="00EF15A2">
            <w:pPr>
              <w:jc w:val="right"/>
              <w:rPr>
                <w:rFonts w:cs="Arial"/>
              </w:rPr>
            </w:pPr>
            <w:r w:rsidRPr="004F0425">
              <w:rPr>
                <w:rFonts w:cs="Arial"/>
              </w:rPr>
              <w:t>-2.3</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IBM</w:t>
            </w:r>
          </w:p>
        </w:tc>
        <w:tc>
          <w:tcPr>
            <w:tcW w:w="1728" w:type="dxa"/>
            <w:vAlign w:val="bottom"/>
          </w:tcPr>
          <w:p w:rsidR="00892F2A" w:rsidRPr="004F0425" w:rsidRDefault="00892F2A" w:rsidP="00EF15A2">
            <w:pPr>
              <w:jc w:val="right"/>
              <w:rPr>
                <w:rFonts w:cs="Arial"/>
              </w:rPr>
            </w:pPr>
            <w:r w:rsidRPr="004F0425">
              <w:rPr>
                <w:rFonts w:cs="Arial"/>
              </w:rPr>
              <w:t>2,244,631,789</w:t>
            </w:r>
          </w:p>
        </w:tc>
        <w:tc>
          <w:tcPr>
            <w:tcW w:w="1440" w:type="dxa"/>
            <w:vAlign w:val="bottom"/>
          </w:tcPr>
          <w:p w:rsidR="00892F2A" w:rsidRPr="004F0425" w:rsidRDefault="00892F2A" w:rsidP="00EF15A2">
            <w:pPr>
              <w:jc w:val="right"/>
              <w:rPr>
                <w:rFonts w:cs="Arial"/>
              </w:rPr>
            </w:pPr>
            <w:r w:rsidRPr="004F0425">
              <w:rPr>
                <w:rFonts w:cs="Arial"/>
              </w:rPr>
              <w:t>19.8</w:t>
            </w:r>
          </w:p>
        </w:tc>
        <w:tc>
          <w:tcPr>
            <w:tcW w:w="1728" w:type="dxa"/>
            <w:vAlign w:val="bottom"/>
          </w:tcPr>
          <w:p w:rsidR="00892F2A" w:rsidRPr="004F0425" w:rsidRDefault="00892F2A" w:rsidP="00EF15A2">
            <w:pPr>
              <w:jc w:val="right"/>
              <w:rPr>
                <w:rFonts w:cs="Arial"/>
              </w:rPr>
            </w:pPr>
            <w:r w:rsidRPr="004F0425">
              <w:rPr>
                <w:rFonts w:cs="Arial"/>
              </w:rPr>
              <w:t>3,016,060,031</w:t>
            </w:r>
          </w:p>
        </w:tc>
        <w:tc>
          <w:tcPr>
            <w:tcW w:w="1440" w:type="dxa"/>
            <w:vAlign w:val="bottom"/>
          </w:tcPr>
          <w:p w:rsidR="00892F2A" w:rsidRPr="004F0425" w:rsidRDefault="00892F2A" w:rsidP="00EF15A2">
            <w:pPr>
              <w:jc w:val="right"/>
              <w:rPr>
                <w:rFonts w:cs="Arial"/>
              </w:rPr>
            </w:pPr>
            <w:r w:rsidRPr="004F0425">
              <w:rPr>
                <w:rFonts w:cs="Arial"/>
              </w:rPr>
              <w:t>25.5</w:t>
            </w:r>
          </w:p>
        </w:tc>
        <w:tc>
          <w:tcPr>
            <w:tcW w:w="1584" w:type="dxa"/>
            <w:vAlign w:val="bottom"/>
          </w:tcPr>
          <w:p w:rsidR="00892F2A" w:rsidRPr="004F0425" w:rsidRDefault="00892F2A" w:rsidP="00EF15A2">
            <w:pPr>
              <w:jc w:val="right"/>
              <w:rPr>
                <w:rFonts w:cs="Arial"/>
              </w:rPr>
            </w:pPr>
            <w:r w:rsidRPr="004F0425">
              <w:rPr>
                <w:rFonts w:cs="Arial"/>
              </w:rPr>
              <w:t>-25.6</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Dell</w:t>
            </w:r>
          </w:p>
        </w:tc>
        <w:tc>
          <w:tcPr>
            <w:tcW w:w="1728" w:type="dxa"/>
            <w:vAlign w:val="bottom"/>
          </w:tcPr>
          <w:p w:rsidR="00892F2A" w:rsidRPr="004F0425" w:rsidRDefault="00892F2A" w:rsidP="00EF15A2">
            <w:pPr>
              <w:jc w:val="right"/>
              <w:rPr>
                <w:rFonts w:cs="Arial"/>
              </w:rPr>
            </w:pPr>
            <w:r w:rsidRPr="004F0425">
              <w:rPr>
                <w:rFonts w:cs="Arial"/>
              </w:rPr>
              <w:t>2,006,639,006</w:t>
            </w:r>
          </w:p>
        </w:tc>
        <w:tc>
          <w:tcPr>
            <w:tcW w:w="1440" w:type="dxa"/>
            <w:vAlign w:val="bottom"/>
          </w:tcPr>
          <w:p w:rsidR="00892F2A" w:rsidRPr="004F0425" w:rsidRDefault="00892F2A" w:rsidP="00EF15A2">
            <w:pPr>
              <w:jc w:val="right"/>
              <w:rPr>
                <w:rFonts w:cs="Arial"/>
              </w:rPr>
            </w:pPr>
            <w:r w:rsidRPr="004F0425">
              <w:rPr>
                <w:rFonts w:cs="Arial"/>
              </w:rPr>
              <w:t>17.7</w:t>
            </w:r>
          </w:p>
        </w:tc>
        <w:tc>
          <w:tcPr>
            <w:tcW w:w="1728" w:type="dxa"/>
            <w:vAlign w:val="bottom"/>
          </w:tcPr>
          <w:p w:rsidR="00892F2A" w:rsidRPr="004F0425" w:rsidRDefault="00892F2A" w:rsidP="00EF15A2">
            <w:pPr>
              <w:jc w:val="right"/>
              <w:rPr>
                <w:rFonts w:cs="Arial"/>
              </w:rPr>
            </w:pPr>
            <w:r w:rsidRPr="004F0425">
              <w:rPr>
                <w:rFonts w:cs="Arial"/>
              </w:rPr>
              <w:t>2,124,462,397</w:t>
            </w:r>
          </w:p>
        </w:tc>
        <w:tc>
          <w:tcPr>
            <w:tcW w:w="1440" w:type="dxa"/>
            <w:vAlign w:val="bottom"/>
          </w:tcPr>
          <w:p w:rsidR="00892F2A" w:rsidRPr="004F0425" w:rsidRDefault="00892F2A" w:rsidP="00EF15A2">
            <w:pPr>
              <w:jc w:val="right"/>
              <w:rPr>
                <w:rFonts w:cs="Arial"/>
              </w:rPr>
            </w:pPr>
            <w:r w:rsidRPr="004F0425">
              <w:rPr>
                <w:rFonts w:cs="Arial"/>
              </w:rPr>
              <w:t>17.9</w:t>
            </w:r>
          </w:p>
        </w:tc>
        <w:tc>
          <w:tcPr>
            <w:tcW w:w="1584" w:type="dxa"/>
            <w:vAlign w:val="bottom"/>
          </w:tcPr>
          <w:p w:rsidR="00892F2A" w:rsidRPr="004F0425" w:rsidRDefault="00892F2A" w:rsidP="00EF15A2">
            <w:pPr>
              <w:jc w:val="right"/>
              <w:rPr>
                <w:rFonts w:cs="Arial"/>
              </w:rPr>
            </w:pPr>
            <w:r w:rsidRPr="004F0425">
              <w:rPr>
                <w:rFonts w:cs="Arial"/>
              </w:rPr>
              <w:t>-5.5</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Cisco</w:t>
            </w:r>
          </w:p>
        </w:tc>
        <w:tc>
          <w:tcPr>
            <w:tcW w:w="1728" w:type="dxa"/>
            <w:vAlign w:val="bottom"/>
          </w:tcPr>
          <w:p w:rsidR="00892F2A" w:rsidRPr="004F0425" w:rsidRDefault="00892F2A" w:rsidP="00EF15A2">
            <w:pPr>
              <w:jc w:val="right"/>
              <w:rPr>
                <w:rFonts w:cs="Arial"/>
              </w:rPr>
            </w:pPr>
            <w:r w:rsidRPr="004F0425">
              <w:rPr>
                <w:rFonts w:cs="Arial"/>
              </w:rPr>
              <w:t>616,620,000</w:t>
            </w:r>
          </w:p>
        </w:tc>
        <w:tc>
          <w:tcPr>
            <w:tcW w:w="1440" w:type="dxa"/>
            <w:vAlign w:val="bottom"/>
          </w:tcPr>
          <w:p w:rsidR="00892F2A" w:rsidRPr="004F0425" w:rsidRDefault="00892F2A" w:rsidP="00EF15A2">
            <w:pPr>
              <w:jc w:val="right"/>
              <w:rPr>
                <w:rFonts w:cs="Arial"/>
              </w:rPr>
            </w:pPr>
            <w:r w:rsidRPr="004F0425">
              <w:rPr>
                <w:rFonts w:cs="Arial"/>
              </w:rPr>
              <w:t>5.4</w:t>
            </w:r>
          </w:p>
        </w:tc>
        <w:tc>
          <w:tcPr>
            <w:tcW w:w="1728" w:type="dxa"/>
            <w:vAlign w:val="bottom"/>
          </w:tcPr>
          <w:p w:rsidR="00892F2A" w:rsidRPr="004F0425" w:rsidRDefault="00892F2A" w:rsidP="00EF15A2">
            <w:pPr>
              <w:jc w:val="right"/>
              <w:rPr>
                <w:rFonts w:cs="Arial"/>
              </w:rPr>
            </w:pPr>
            <w:r w:rsidRPr="004F0425">
              <w:rPr>
                <w:rFonts w:cs="Arial"/>
              </w:rPr>
              <w:t>450,120,000</w:t>
            </w:r>
          </w:p>
        </w:tc>
        <w:tc>
          <w:tcPr>
            <w:tcW w:w="1440" w:type="dxa"/>
            <w:vAlign w:val="bottom"/>
          </w:tcPr>
          <w:p w:rsidR="00892F2A" w:rsidRPr="004F0425" w:rsidRDefault="00892F2A" w:rsidP="00EF15A2">
            <w:pPr>
              <w:jc w:val="right"/>
              <w:rPr>
                <w:rFonts w:cs="Arial"/>
              </w:rPr>
            </w:pPr>
            <w:r w:rsidRPr="004F0425">
              <w:rPr>
                <w:rFonts w:cs="Arial"/>
              </w:rPr>
              <w:t>3.8</w:t>
            </w:r>
          </w:p>
        </w:tc>
        <w:tc>
          <w:tcPr>
            <w:tcW w:w="1584" w:type="dxa"/>
            <w:vAlign w:val="bottom"/>
          </w:tcPr>
          <w:p w:rsidR="00892F2A" w:rsidRPr="004F0425" w:rsidRDefault="00892F2A" w:rsidP="00EF15A2">
            <w:pPr>
              <w:jc w:val="right"/>
              <w:rPr>
                <w:rFonts w:cs="Arial"/>
              </w:rPr>
            </w:pPr>
            <w:r w:rsidRPr="004F0425">
              <w:rPr>
                <w:rFonts w:cs="Arial"/>
              </w:rPr>
              <w:t>37.0</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Fujitsu</w:t>
            </w:r>
          </w:p>
        </w:tc>
        <w:tc>
          <w:tcPr>
            <w:tcW w:w="1728" w:type="dxa"/>
            <w:vAlign w:val="bottom"/>
          </w:tcPr>
          <w:p w:rsidR="00892F2A" w:rsidRPr="004F0425" w:rsidRDefault="00892F2A" w:rsidP="00EF15A2">
            <w:pPr>
              <w:jc w:val="right"/>
              <w:rPr>
                <w:rFonts w:cs="Arial"/>
              </w:rPr>
            </w:pPr>
            <w:r w:rsidRPr="004F0425">
              <w:rPr>
                <w:rFonts w:cs="Arial"/>
              </w:rPr>
              <w:t>573,761,398</w:t>
            </w:r>
          </w:p>
        </w:tc>
        <w:tc>
          <w:tcPr>
            <w:tcW w:w="1440" w:type="dxa"/>
            <w:vAlign w:val="bottom"/>
          </w:tcPr>
          <w:p w:rsidR="00892F2A" w:rsidRPr="004F0425" w:rsidRDefault="00892F2A" w:rsidP="00EF15A2">
            <w:pPr>
              <w:jc w:val="right"/>
              <w:rPr>
                <w:rFonts w:cs="Arial"/>
              </w:rPr>
            </w:pPr>
            <w:r w:rsidRPr="004F0425">
              <w:rPr>
                <w:rFonts w:cs="Arial"/>
              </w:rPr>
              <w:t>5.1</w:t>
            </w:r>
          </w:p>
        </w:tc>
        <w:tc>
          <w:tcPr>
            <w:tcW w:w="1728" w:type="dxa"/>
            <w:vAlign w:val="bottom"/>
          </w:tcPr>
          <w:p w:rsidR="00892F2A" w:rsidRPr="004F0425" w:rsidRDefault="00892F2A" w:rsidP="00EF15A2">
            <w:pPr>
              <w:jc w:val="right"/>
              <w:rPr>
                <w:rFonts w:cs="Arial"/>
              </w:rPr>
            </w:pPr>
            <w:r w:rsidRPr="004F0425">
              <w:rPr>
                <w:rFonts w:cs="Arial"/>
              </w:rPr>
              <w:t>583,238,840</w:t>
            </w:r>
          </w:p>
        </w:tc>
        <w:tc>
          <w:tcPr>
            <w:tcW w:w="1440" w:type="dxa"/>
            <w:vAlign w:val="bottom"/>
          </w:tcPr>
          <w:p w:rsidR="00892F2A" w:rsidRPr="004F0425" w:rsidRDefault="00892F2A" w:rsidP="00EF15A2">
            <w:pPr>
              <w:jc w:val="right"/>
              <w:rPr>
                <w:rFonts w:cs="Arial"/>
              </w:rPr>
            </w:pPr>
            <w:r w:rsidRPr="004F0425">
              <w:rPr>
                <w:rFonts w:cs="Arial"/>
              </w:rPr>
              <w:t>4.9</w:t>
            </w:r>
          </w:p>
        </w:tc>
        <w:tc>
          <w:tcPr>
            <w:tcW w:w="1584" w:type="dxa"/>
            <w:vAlign w:val="bottom"/>
          </w:tcPr>
          <w:p w:rsidR="00892F2A" w:rsidRPr="004F0425" w:rsidRDefault="00892F2A" w:rsidP="00EF15A2">
            <w:pPr>
              <w:jc w:val="right"/>
              <w:rPr>
                <w:rFonts w:cs="Arial"/>
              </w:rPr>
            </w:pPr>
            <w:r w:rsidRPr="004F0425">
              <w:rPr>
                <w:rFonts w:cs="Arial"/>
              </w:rPr>
              <w:t>-1.6</w:t>
            </w:r>
          </w:p>
        </w:tc>
      </w:tr>
      <w:tr w:rsidR="00892F2A" w:rsidRPr="004F0425" w:rsidTr="00EF15A2">
        <w:trPr>
          <w:trHeight w:val="240"/>
        </w:trPr>
        <w:tc>
          <w:tcPr>
            <w:tcW w:w="1872" w:type="dxa"/>
            <w:vAlign w:val="bottom"/>
          </w:tcPr>
          <w:p w:rsidR="00892F2A" w:rsidRPr="004F0425" w:rsidRDefault="00892F2A" w:rsidP="00EF15A2">
            <w:pPr>
              <w:rPr>
                <w:rFonts w:cs="Arial"/>
              </w:rPr>
            </w:pPr>
            <w:r w:rsidRPr="004F0425">
              <w:rPr>
                <w:rFonts w:cs="Arial"/>
              </w:rPr>
              <w:t>Others</w:t>
            </w:r>
          </w:p>
        </w:tc>
        <w:tc>
          <w:tcPr>
            <w:tcW w:w="1728" w:type="dxa"/>
            <w:vAlign w:val="bottom"/>
          </w:tcPr>
          <w:p w:rsidR="00892F2A" w:rsidRPr="004F0425" w:rsidRDefault="00892F2A" w:rsidP="00EF15A2">
            <w:pPr>
              <w:jc w:val="right"/>
              <w:rPr>
                <w:rFonts w:cs="Arial"/>
              </w:rPr>
            </w:pPr>
            <w:r w:rsidRPr="004F0425">
              <w:rPr>
                <w:rFonts w:cs="Arial"/>
              </w:rPr>
              <w:t xml:space="preserve"> 3,023,595,517 </w:t>
            </w:r>
          </w:p>
        </w:tc>
        <w:tc>
          <w:tcPr>
            <w:tcW w:w="1440" w:type="dxa"/>
            <w:vAlign w:val="bottom"/>
          </w:tcPr>
          <w:p w:rsidR="00892F2A" w:rsidRPr="004F0425" w:rsidRDefault="00892F2A" w:rsidP="00EF15A2">
            <w:pPr>
              <w:jc w:val="right"/>
              <w:rPr>
                <w:rFonts w:cs="Arial"/>
              </w:rPr>
            </w:pPr>
            <w:r w:rsidRPr="004F0425">
              <w:rPr>
                <w:rFonts w:cs="Arial"/>
              </w:rPr>
              <w:t>26.6</w:t>
            </w:r>
          </w:p>
        </w:tc>
        <w:tc>
          <w:tcPr>
            <w:tcW w:w="1728" w:type="dxa"/>
            <w:vAlign w:val="bottom"/>
          </w:tcPr>
          <w:p w:rsidR="00892F2A" w:rsidRPr="004F0425" w:rsidRDefault="00892F2A" w:rsidP="00EF15A2">
            <w:pPr>
              <w:jc w:val="right"/>
              <w:rPr>
                <w:rFonts w:cs="Arial"/>
              </w:rPr>
            </w:pPr>
            <w:r w:rsidRPr="004F0425">
              <w:rPr>
                <w:rFonts w:cs="Arial"/>
              </w:rPr>
              <w:t xml:space="preserve"> 2,702,999,615 </w:t>
            </w:r>
          </w:p>
        </w:tc>
        <w:tc>
          <w:tcPr>
            <w:tcW w:w="1440" w:type="dxa"/>
            <w:vAlign w:val="bottom"/>
          </w:tcPr>
          <w:p w:rsidR="00892F2A" w:rsidRPr="004F0425" w:rsidRDefault="00892F2A" w:rsidP="00EF15A2">
            <w:pPr>
              <w:jc w:val="right"/>
              <w:rPr>
                <w:rFonts w:cs="Arial"/>
              </w:rPr>
            </w:pPr>
            <w:r w:rsidRPr="004F0425">
              <w:rPr>
                <w:rFonts w:cs="Arial"/>
              </w:rPr>
              <w:t>22.8</w:t>
            </w:r>
          </w:p>
        </w:tc>
        <w:tc>
          <w:tcPr>
            <w:tcW w:w="1584" w:type="dxa"/>
            <w:vAlign w:val="bottom"/>
          </w:tcPr>
          <w:p w:rsidR="00892F2A" w:rsidRPr="004F0425" w:rsidRDefault="00892F2A" w:rsidP="00EF15A2">
            <w:pPr>
              <w:jc w:val="right"/>
              <w:rPr>
                <w:rFonts w:cs="Arial"/>
              </w:rPr>
            </w:pPr>
            <w:r w:rsidRPr="004F0425">
              <w:rPr>
                <w:rFonts w:cs="Arial"/>
              </w:rPr>
              <w:t>11.9</w:t>
            </w:r>
          </w:p>
        </w:tc>
      </w:tr>
      <w:tr w:rsidR="00892F2A" w:rsidRPr="004F0425" w:rsidTr="00EF15A2">
        <w:trPr>
          <w:trHeight w:val="225"/>
        </w:trPr>
        <w:tc>
          <w:tcPr>
            <w:tcW w:w="1872" w:type="dxa"/>
            <w:vAlign w:val="bottom"/>
          </w:tcPr>
          <w:p w:rsidR="00892F2A" w:rsidRPr="004F0425" w:rsidRDefault="00892F2A" w:rsidP="00EF15A2">
            <w:pPr>
              <w:jc w:val="left"/>
              <w:rPr>
                <w:rFonts w:eastAsia="Batang"/>
                <w:b/>
              </w:rPr>
            </w:pPr>
            <w:r w:rsidRPr="004F0425">
              <w:rPr>
                <w:rFonts w:eastAsia="Batang"/>
                <w:b/>
              </w:rPr>
              <w:t>Total</w:t>
            </w:r>
          </w:p>
        </w:tc>
        <w:tc>
          <w:tcPr>
            <w:tcW w:w="1728" w:type="dxa"/>
            <w:vAlign w:val="bottom"/>
          </w:tcPr>
          <w:p w:rsidR="00892F2A" w:rsidRPr="004F0425" w:rsidRDefault="00892F2A" w:rsidP="00EF15A2">
            <w:pPr>
              <w:jc w:val="right"/>
              <w:rPr>
                <w:rFonts w:cs="Arial"/>
                <w:b/>
              </w:rPr>
            </w:pPr>
            <w:r w:rsidRPr="004F0425">
              <w:rPr>
                <w:rFonts w:cs="Arial"/>
                <w:b/>
              </w:rPr>
              <w:t>11,356,239,939</w:t>
            </w:r>
          </w:p>
        </w:tc>
        <w:tc>
          <w:tcPr>
            <w:tcW w:w="1440" w:type="dxa"/>
            <w:vAlign w:val="center"/>
          </w:tcPr>
          <w:p w:rsidR="00892F2A" w:rsidRPr="004F0425" w:rsidRDefault="00892F2A" w:rsidP="00EF15A2">
            <w:pPr>
              <w:jc w:val="right"/>
              <w:rPr>
                <w:rFonts w:eastAsia="Batang"/>
                <w:b/>
              </w:rPr>
            </w:pPr>
            <w:r w:rsidRPr="004F0425">
              <w:rPr>
                <w:rFonts w:eastAsia="Batang"/>
                <w:b/>
              </w:rPr>
              <w:t>100.0</w:t>
            </w:r>
          </w:p>
        </w:tc>
        <w:tc>
          <w:tcPr>
            <w:tcW w:w="1728" w:type="dxa"/>
            <w:vAlign w:val="bottom"/>
          </w:tcPr>
          <w:p w:rsidR="00892F2A" w:rsidRPr="004F0425" w:rsidRDefault="00892F2A" w:rsidP="00EF15A2">
            <w:pPr>
              <w:jc w:val="right"/>
              <w:rPr>
                <w:rFonts w:cs="Arial"/>
                <w:b/>
              </w:rPr>
            </w:pPr>
            <w:r w:rsidRPr="004F0425">
              <w:rPr>
                <w:rFonts w:cs="Arial"/>
                <w:b/>
              </w:rPr>
              <w:t>11,835,911,081</w:t>
            </w:r>
          </w:p>
        </w:tc>
        <w:tc>
          <w:tcPr>
            <w:tcW w:w="1440" w:type="dxa"/>
            <w:vAlign w:val="center"/>
          </w:tcPr>
          <w:p w:rsidR="00892F2A" w:rsidRPr="004F0425" w:rsidRDefault="00892F2A" w:rsidP="00EF15A2">
            <w:pPr>
              <w:jc w:val="right"/>
              <w:rPr>
                <w:rFonts w:eastAsia="Batang"/>
                <w:b/>
              </w:rPr>
            </w:pPr>
            <w:r w:rsidRPr="004F0425">
              <w:rPr>
                <w:rFonts w:eastAsia="Batang"/>
                <w:b/>
              </w:rPr>
              <w:t>100.0</w:t>
            </w:r>
          </w:p>
        </w:tc>
        <w:tc>
          <w:tcPr>
            <w:tcW w:w="1584" w:type="dxa"/>
            <w:vAlign w:val="center"/>
          </w:tcPr>
          <w:p w:rsidR="00892F2A" w:rsidRPr="004F0425" w:rsidRDefault="00892F2A" w:rsidP="00EF15A2">
            <w:pPr>
              <w:jc w:val="right"/>
              <w:rPr>
                <w:rFonts w:eastAsia="Batang"/>
                <w:b/>
              </w:rPr>
            </w:pPr>
            <w:r w:rsidRPr="004F0425">
              <w:rPr>
                <w:rFonts w:eastAsia="Batang"/>
                <w:b/>
              </w:rPr>
              <w:t>-4.1</w:t>
            </w:r>
          </w:p>
        </w:tc>
      </w:tr>
    </w:tbl>
    <w:p w:rsidR="00892F2A" w:rsidRPr="004F0425" w:rsidRDefault="004A22A6" w:rsidP="00892F2A">
      <w:pPr>
        <w:pStyle w:val="contact"/>
        <w:rPr>
          <w:rFonts w:ascii="Arial" w:hAnsi="Arial"/>
          <w:sz w:val="16"/>
          <w:szCs w:val="16"/>
        </w:rPr>
      </w:pPr>
      <w:r w:rsidRPr="004F0425">
        <w:rPr>
          <w:rFonts w:ascii="Arial" w:hAnsi="Arial"/>
          <w:sz w:val="16"/>
          <w:szCs w:val="16"/>
        </w:rPr>
        <w:t>Source: Gartner (May 2014)</w:t>
      </w:r>
    </w:p>
    <w:p w:rsidR="00892F2A" w:rsidRPr="004F0425" w:rsidRDefault="00892F2A" w:rsidP="00892F2A">
      <w:pPr>
        <w:pStyle w:val="contact"/>
        <w:tabs>
          <w:tab w:val="clear" w:pos="9180"/>
        </w:tabs>
        <w:rPr>
          <w:rFonts w:ascii="Arial" w:hAnsi="Arial"/>
        </w:rPr>
      </w:pPr>
    </w:p>
    <w:p w:rsidR="00892F2A" w:rsidRPr="004F0425" w:rsidRDefault="00892F2A" w:rsidP="00892F2A">
      <w:pPr>
        <w:pStyle w:val="BodyText"/>
        <w:widowControl/>
        <w:spacing w:after="0" w:line="240" w:lineRule="auto"/>
        <w:rPr>
          <w:szCs w:val="22"/>
        </w:rPr>
      </w:pPr>
      <w:r w:rsidRPr="004F0425">
        <w:rPr>
          <w:szCs w:val="22"/>
        </w:rPr>
        <w:lastRenderedPageBreak/>
        <w:t xml:space="preserve">In server shipments, HP remained the worldwide leader in the first quarter of 2014 (see Table 2) even though its shipments declined 7.9 </w:t>
      </w:r>
      <w:r w:rsidR="004F0425">
        <w:rPr>
          <w:szCs w:val="22"/>
        </w:rPr>
        <w:t>per cent</w:t>
      </w:r>
      <w:r w:rsidRPr="004F0425">
        <w:rPr>
          <w:szCs w:val="22"/>
        </w:rPr>
        <w:t xml:space="preserve"> compared with the first quarter of 2013. HP's worldwide server shipment share was 22.6 </w:t>
      </w:r>
      <w:r w:rsidR="004F0425">
        <w:rPr>
          <w:szCs w:val="22"/>
        </w:rPr>
        <w:t>per cent</w:t>
      </w:r>
      <w:r w:rsidRPr="004F0425">
        <w:rPr>
          <w:szCs w:val="22"/>
        </w:rPr>
        <w:t xml:space="preserve">, followed by Dell with 19.7 </w:t>
      </w:r>
      <w:r w:rsidR="004F0425">
        <w:rPr>
          <w:szCs w:val="22"/>
        </w:rPr>
        <w:t>per cent</w:t>
      </w:r>
      <w:r w:rsidRPr="004F0425">
        <w:rPr>
          <w:szCs w:val="22"/>
        </w:rPr>
        <w:t xml:space="preserve"> of the market.</w:t>
      </w:r>
    </w:p>
    <w:p w:rsidR="00892F2A" w:rsidRPr="004F0425" w:rsidRDefault="00892F2A" w:rsidP="00892F2A">
      <w:pPr>
        <w:pStyle w:val="BodyText"/>
        <w:widowControl/>
        <w:spacing w:after="0" w:line="240" w:lineRule="auto"/>
        <w:rPr>
          <w:szCs w:val="22"/>
        </w:rPr>
      </w:pPr>
    </w:p>
    <w:p w:rsidR="00892F2A" w:rsidRPr="004F0425" w:rsidRDefault="00892F2A" w:rsidP="00892F2A">
      <w:pPr>
        <w:pStyle w:val="BodyText"/>
        <w:widowControl/>
        <w:spacing w:after="0" w:line="240" w:lineRule="auto"/>
        <w:rPr>
          <w:szCs w:val="22"/>
        </w:rPr>
      </w:pPr>
      <w:r w:rsidRPr="004F0425">
        <w:rPr>
          <w:szCs w:val="22"/>
        </w:rPr>
        <w:t xml:space="preserve">Of the top five vendors in server shipments worldwide, only Huawei and </w:t>
      </w:r>
      <w:proofErr w:type="spellStart"/>
      <w:r w:rsidRPr="004F0425">
        <w:rPr>
          <w:szCs w:val="22"/>
        </w:rPr>
        <w:t>Inspur</w:t>
      </w:r>
      <w:proofErr w:type="spellEnd"/>
      <w:r w:rsidRPr="004F0425">
        <w:rPr>
          <w:szCs w:val="22"/>
        </w:rPr>
        <w:t xml:space="preserve"> Electronics increased shipments in the first quarter of 2014, with growth of 61 </w:t>
      </w:r>
      <w:r w:rsidR="004F0425">
        <w:rPr>
          <w:szCs w:val="22"/>
        </w:rPr>
        <w:t>per cent</w:t>
      </w:r>
      <w:r w:rsidRPr="004F0425">
        <w:rPr>
          <w:szCs w:val="22"/>
        </w:rPr>
        <w:t xml:space="preserve"> and 288.7 </w:t>
      </w:r>
      <w:r w:rsidR="004F0425">
        <w:rPr>
          <w:szCs w:val="22"/>
        </w:rPr>
        <w:t>per cent</w:t>
      </w:r>
      <w:r w:rsidRPr="004F0425">
        <w:rPr>
          <w:szCs w:val="22"/>
        </w:rPr>
        <w:t xml:space="preserve">, respectively. This is the first time </w:t>
      </w:r>
      <w:proofErr w:type="spellStart"/>
      <w:r w:rsidRPr="004F0425">
        <w:rPr>
          <w:szCs w:val="22"/>
        </w:rPr>
        <w:t>Inspur</w:t>
      </w:r>
      <w:proofErr w:type="spellEnd"/>
      <w:r w:rsidRPr="004F0425">
        <w:rPr>
          <w:szCs w:val="22"/>
        </w:rPr>
        <w:t xml:space="preserve"> Electronics made the top five in server shipments.</w:t>
      </w:r>
    </w:p>
    <w:p w:rsidR="00892F2A" w:rsidRPr="004F0425" w:rsidRDefault="00892F2A" w:rsidP="00892F2A">
      <w:pPr>
        <w:pStyle w:val="BodyText"/>
        <w:widowControl/>
        <w:spacing w:after="0" w:line="240" w:lineRule="auto"/>
        <w:rPr>
          <w:szCs w:val="22"/>
        </w:rPr>
      </w:pPr>
    </w:p>
    <w:p w:rsidR="00892F2A" w:rsidRPr="004F0425" w:rsidRDefault="00892F2A" w:rsidP="00892F2A">
      <w:pPr>
        <w:jc w:val="left"/>
        <w:rPr>
          <w:b/>
          <w:sz w:val="22"/>
        </w:rPr>
      </w:pPr>
      <w:r w:rsidRPr="004F0425">
        <w:rPr>
          <w:b/>
          <w:sz w:val="22"/>
        </w:rPr>
        <w:t>Table 2</w:t>
      </w:r>
      <w:r w:rsidRPr="004F0425">
        <w:rPr>
          <w:b/>
          <w:sz w:val="22"/>
        </w:rPr>
        <w:br/>
        <w:t>Worldwide: Server Vendor Shipments Estimates, 1Q14 (Units)</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892F2A" w:rsidRPr="004F0425" w:rsidTr="00EF15A2">
        <w:trPr>
          <w:trHeight w:val="225"/>
        </w:trPr>
        <w:tc>
          <w:tcPr>
            <w:tcW w:w="1872" w:type="dxa"/>
            <w:tcBorders>
              <w:top w:val="single" w:sz="4" w:space="0" w:color="auto"/>
            </w:tcBorders>
            <w:vAlign w:val="bottom"/>
          </w:tcPr>
          <w:p w:rsidR="00892F2A" w:rsidRPr="004F0425" w:rsidRDefault="00892F2A" w:rsidP="00EF15A2">
            <w:pPr>
              <w:jc w:val="left"/>
              <w:rPr>
                <w:rFonts w:eastAsia="Batang"/>
                <w:b/>
              </w:rPr>
            </w:pPr>
            <w:r w:rsidRPr="004F0425">
              <w:rPr>
                <w:rFonts w:eastAsia="Batang"/>
                <w:b/>
              </w:rPr>
              <w:t>Company</w:t>
            </w:r>
          </w:p>
        </w:tc>
        <w:tc>
          <w:tcPr>
            <w:tcW w:w="1728" w:type="dxa"/>
            <w:tcBorders>
              <w:top w:val="single" w:sz="4" w:space="0" w:color="auto"/>
            </w:tcBorders>
            <w:vAlign w:val="bottom"/>
          </w:tcPr>
          <w:p w:rsidR="00892F2A" w:rsidRPr="004F0425" w:rsidRDefault="00892F2A" w:rsidP="00EF15A2">
            <w:pPr>
              <w:jc w:val="right"/>
              <w:rPr>
                <w:rFonts w:eastAsia="Batang"/>
                <w:b/>
              </w:rPr>
            </w:pPr>
            <w:r w:rsidRPr="004F0425">
              <w:rPr>
                <w:rFonts w:eastAsia="Batang"/>
                <w:b/>
              </w:rPr>
              <w:t>1Q14</w:t>
            </w:r>
          </w:p>
          <w:p w:rsidR="00892F2A" w:rsidRPr="004F0425" w:rsidRDefault="00892F2A" w:rsidP="00EF15A2">
            <w:pPr>
              <w:jc w:val="right"/>
              <w:rPr>
                <w:rFonts w:eastAsia="Batang"/>
                <w:b/>
              </w:rPr>
            </w:pPr>
            <w:r w:rsidRPr="004F0425">
              <w:rPr>
                <w:rFonts w:eastAsia="Batang"/>
                <w:b/>
              </w:rPr>
              <w:t>Shipments</w:t>
            </w:r>
          </w:p>
        </w:tc>
        <w:tc>
          <w:tcPr>
            <w:tcW w:w="1440"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1Q14 Market Share (%)</w:t>
            </w:r>
          </w:p>
        </w:tc>
        <w:tc>
          <w:tcPr>
            <w:tcW w:w="1728" w:type="dxa"/>
            <w:tcBorders>
              <w:top w:val="single" w:sz="4" w:space="0" w:color="auto"/>
            </w:tcBorders>
            <w:vAlign w:val="bottom"/>
          </w:tcPr>
          <w:p w:rsidR="00892F2A" w:rsidRPr="004F0425" w:rsidRDefault="00892F2A" w:rsidP="00EF15A2">
            <w:pPr>
              <w:jc w:val="right"/>
              <w:rPr>
                <w:rFonts w:eastAsia="Batang"/>
                <w:b/>
              </w:rPr>
            </w:pPr>
            <w:r w:rsidRPr="004F0425">
              <w:rPr>
                <w:rFonts w:eastAsia="Batang"/>
                <w:b/>
              </w:rPr>
              <w:t>1Q13</w:t>
            </w:r>
          </w:p>
          <w:p w:rsidR="00892F2A" w:rsidRPr="004F0425" w:rsidRDefault="00892F2A" w:rsidP="00EF15A2">
            <w:pPr>
              <w:jc w:val="right"/>
              <w:rPr>
                <w:rFonts w:eastAsia="Batang"/>
                <w:b/>
              </w:rPr>
            </w:pPr>
            <w:r w:rsidRPr="004F0425">
              <w:rPr>
                <w:rFonts w:eastAsia="Batang"/>
                <w:b/>
              </w:rPr>
              <w:t>Shipments</w:t>
            </w:r>
          </w:p>
        </w:tc>
        <w:tc>
          <w:tcPr>
            <w:tcW w:w="1440"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1Q13 Market Share (%)</w:t>
            </w:r>
          </w:p>
        </w:tc>
        <w:tc>
          <w:tcPr>
            <w:tcW w:w="1584" w:type="dxa"/>
            <w:tcBorders>
              <w:top w:val="single" w:sz="4" w:space="0" w:color="auto"/>
            </w:tcBorders>
            <w:vAlign w:val="center"/>
          </w:tcPr>
          <w:p w:rsidR="00892F2A" w:rsidRPr="004F0425" w:rsidRDefault="00892F2A" w:rsidP="00EF15A2">
            <w:pPr>
              <w:jc w:val="right"/>
              <w:rPr>
                <w:rFonts w:eastAsia="Batang"/>
                <w:b/>
              </w:rPr>
            </w:pPr>
            <w:r w:rsidRPr="004F0425">
              <w:rPr>
                <w:rFonts w:eastAsia="Batang"/>
                <w:b/>
              </w:rPr>
              <w:t>1Q14-1Q13 Growth (%)</w:t>
            </w:r>
          </w:p>
        </w:tc>
      </w:tr>
      <w:tr w:rsidR="00892F2A" w:rsidRPr="004F0425" w:rsidTr="00EF15A2">
        <w:trPr>
          <w:trHeight w:val="225"/>
        </w:trPr>
        <w:tc>
          <w:tcPr>
            <w:tcW w:w="1872" w:type="dxa"/>
            <w:tcBorders>
              <w:top w:val="single" w:sz="4" w:space="0" w:color="auto"/>
            </w:tcBorders>
            <w:vAlign w:val="bottom"/>
          </w:tcPr>
          <w:p w:rsidR="00892F2A" w:rsidRPr="004F0425" w:rsidRDefault="00892F2A" w:rsidP="00EF15A2">
            <w:pPr>
              <w:rPr>
                <w:rFonts w:cs="Arial"/>
              </w:rPr>
            </w:pPr>
            <w:r w:rsidRPr="004F0425">
              <w:rPr>
                <w:rFonts w:cs="Arial"/>
              </w:rPr>
              <w:t>HP</w:t>
            </w:r>
          </w:p>
        </w:tc>
        <w:tc>
          <w:tcPr>
            <w:tcW w:w="1728" w:type="dxa"/>
            <w:tcBorders>
              <w:top w:val="single" w:sz="4" w:space="0" w:color="auto"/>
            </w:tcBorders>
            <w:vAlign w:val="bottom"/>
          </w:tcPr>
          <w:p w:rsidR="00892F2A" w:rsidRPr="004F0425" w:rsidRDefault="00892F2A" w:rsidP="00EF15A2">
            <w:pPr>
              <w:jc w:val="right"/>
              <w:rPr>
                <w:rFonts w:cs="Arial"/>
              </w:rPr>
            </w:pPr>
            <w:r w:rsidRPr="004F0425">
              <w:rPr>
                <w:rFonts w:cs="Arial"/>
              </w:rPr>
              <w:t>534,652</w:t>
            </w:r>
          </w:p>
        </w:tc>
        <w:tc>
          <w:tcPr>
            <w:tcW w:w="1440" w:type="dxa"/>
            <w:tcBorders>
              <w:top w:val="single" w:sz="4" w:space="0" w:color="auto"/>
            </w:tcBorders>
            <w:vAlign w:val="bottom"/>
          </w:tcPr>
          <w:p w:rsidR="00892F2A" w:rsidRPr="004F0425" w:rsidRDefault="00892F2A" w:rsidP="00EF15A2">
            <w:pPr>
              <w:jc w:val="right"/>
              <w:rPr>
                <w:rFonts w:cs="Arial"/>
              </w:rPr>
            </w:pPr>
            <w:r w:rsidRPr="004F0425">
              <w:rPr>
                <w:rFonts w:cs="Arial"/>
              </w:rPr>
              <w:t>22.6</w:t>
            </w:r>
          </w:p>
        </w:tc>
        <w:tc>
          <w:tcPr>
            <w:tcW w:w="1728" w:type="dxa"/>
            <w:tcBorders>
              <w:top w:val="single" w:sz="4" w:space="0" w:color="auto"/>
            </w:tcBorders>
            <w:vAlign w:val="bottom"/>
          </w:tcPr>
          <w:p w:rsidR="00892F2A" w:rsidRPr="004F0425" w:rsidRDefault="00892F2A" w:rsidP="00EF15A2">
            <w:pPr>
              <w:jc w:val="right"/>
              <w:rPr>
                <w:rFonts w:cs="Arial"/>
              </w:rPr>
            </w:pPr>
            <w:r w:rsidRPr="004F0425">
              <w:rPr>
                <w:rFonts w:cs="Arial"/>
              </w:rPr>
              <w:t>580,563</w:t>
            </w:r>
          </w:p>
        </w:tc>
        <w:tc>
          <w:tcPr>
            <w:tcW w:w="1440" w:type="dxa"/>
            <w:tcBorders>
              <w:top w:val="single" w:sz="4" w:space="0" w:color="auto"/>
            </w:tcBorders>
            <w:vAlign w:val="bottom"/>
          </w:tcPr>
          <w:p w:rsidR="00892F2A" w:rsidRPr="004F0425" w:rsidRDefault="00892F2A" w:rsidP="00EF15A2">
            <w:pPr>
              <w:jc w:val="right"/>
              <w:rPr>
                <w:rFonts w:cs="Arial"/>
              </w:rPr>
            </w:pPr>
            <w:r w:rsidRPr="004F0425">
              <w:rPr>
                <w:rFonts w:cs="Arial"/>
              </w:rPr>
              <w:t>24.9</w:t>
            </w:r>
          </w:p>
        </w:tc>
        <w:tc>
          <w:tcPr>
            <w:tcW w:w="1584" w:type="dxa"/>
            <w:tcBorders>
              <w:top w:val="single" w:sz="4" w:space="0" w:color="auto"/>
            </w:tcBorders>
            <w:vAlign w:val="bottom"/>
          </w:tcPr>
          <w:p w:rsidR="00892F2A" w:rsidRPr="004F0425" w:rsidRDefault="00892F2A" w:rsidP="00EF15A2">
            <w:pPr>
              <w:jc w:val="right"/>
              <w:rPr>
                <w:rFonts w:cs="Arial"/>
              </w:rPr>
            </w:pPr>
            <w:r w:rsidRPr="004F0425">
              <w:rPr>
                <w:rFonts w:cs="Arial"/>
              </w:rPr>
              <w:t>-7.9</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Dell</w:t>
            </w:r>
          </w:p>
        </w:tc>
        <w:tc>
          <w:tcPr>
            <w:tcW w:w="1728" w:type="dxa"/>
            <w:vAlign w:val="bottom"/>
          </w:tcPr>
          <w:p w:rsidR="00892F2A" w:rsidRPr="004F0425" w:rsidRDefault="00892F2A" w:rsidP="00EF15A2">
            <w:pPr>
              <w:jc w:val="right"/>
              <w:rPr>
                <w:rFonts w:cs="Arial"/>
              </w:rPr>
            </w:pPr>
            <w:r w:rsidRPr="004F0425">
              <w:rPr>
                <w:rFonts w:cs="Arial"/>
              </w:rPr>
              <w:t>464,141</w:t>
            </w:r>
          </w:p>
        </w:tc>
        <w:tc>
          <w:tcPr>
            <w:tcW w:w="1440" w:type="dxa"/>
            <w:vAlign w:val="bottom"/>
          </w:tcPr>
          <w:p w:rsidR="00892F2A" w:rsidRPr="004F0425" w:rsidRDefault="00892F2A" w:rsidP="00EF15A2">
            <w:pPr>
              <w:jc w:val="right"/>
              <w:rPr>
                <w:rFonts w:cs="Arial"/>
              </w:rPr>
            </w:pPr>
            <w:r w:rsidRPr="004F0425">
              <w:rPr>
                <w:rFonts w:cs="Arial"/>
              </w:rPr>
              <w:t>19.7</w:t>
            </w:r>
          </w:p>
        </w:tc>
        <w:tc>
          <w:tcPr>
            <w:tcW w:w="1728" w:type="dxa"/>
            <w:vAlign w:val="bottom"/>
          </w:tcPr>
          <w:p w:rsidR="00892F2A" w:rsidRPr="004F0425" w:rsidRDefault="00892F2A" w:rsidP="00EF15A2">
            <w:pPr>
              <w:jc w:val="right"/>
              <w:rPr>
                <w:rFonts w:cs="Arial"/>
              </w:rPr>
            </w:pPr>
            <w:r w:rsidRPr="004F0425">
              <w:rPr>
                <w:rFonts w:cs="Arial"/>
              </w:rPr>
              <w:t>516,355</w:t>
            </w:r>
          </w:p>
        </w:tc>
        <w:tc>
          <w:tcPr>
            <w:tcW w:w="1440" w:type="dxa"/>
            <w:vAlign w:val="bottom"/>
          </w:tcPr>
          <w:p w:rsidR="00892F2A" w:rsidRPr="004F0425" w:rsidRDefault="00892F2A" w:rsidP="00EF15A2">
            <w:pPr>
              <w:jc w:val="right"/>
              <w:rPr>
                <w:rFonts w:cs="Arial"/>
              </w:rPr>
            </w:pPr>
            <w:r w:rsidRPr="004F0425">
              <w:rPr>
                <w:rFonts w:cs="Arial"/>
              </w:rPr>
              <w:t>22.2</w:t>
            </w:r>
          </w:p>
        </w:tc>
        <w:tc>
          <w:tcPr>
            <w:tcW w:w="1584" w:type="dxa"/>
            <w:vAlign w:val="bottom"/>
          </w:tcPr>
          <w:p w:rsidR="00892F2A" w:rsidRPr="004F0425" w:rsidRDefault="00892F2A" w:rsidP="00EF15A2">
            <w:pPr>
              <w:jc w:val="right"/>
              <w:rPr>
                <w:rFonts w:cs="Arial"/>
              </w:rPr>
            </w:pPr>
            <w:r w:rsidRPr="004F0425">
              <w:rPr>
                <w:rFonts w:cs="Arial"/>
              </w:rPr>
              <w:t>-10.1</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IBM</w:t>
            </w:r>
          </w:p>
        </w:tc>
        <w:tc>
          <w:tcPr>
            <w:tcW w:w="1728" w:type="dxa"/>
            <w:vAlign w:val="bottom"/>
          </w:tcPr>
          <w:p w:rsidR="00892F2A" w:rsidRPr="004F0425" w:rsidRDefault="00892F2A" w:rsidP="00EF15A2">
            <w:pPr>
              <w:jc w:val="right"/>
              <w:rPr>
                <w:rFonts w:cs="Arial"/>
              </w:rPr>
            </w:pPr>
            <w:r w:rsidRPr="004F0425">
              <w:rPr>
                <w:rFonts w:cs="Arial"/>
              </w:rPr>
              <w:t>166,311</w:t>
            </w:r>
          </w:p>
        </w:tc>
        <w:tc>
          <w:tcPr>
            <w:tcW w:w="1440" w:type="dxa"/>
            <w:vAlign w:val="bottom"/>
          </w:tcPr>
          <w:p w:rsidR="00892F2A" w:rsidRPr="004F0425" w:rsidRDefault="00892F2A" w:rsidP="00EF15A2">
            <w:pPr>
              <w:jc w:val="right"/>
              <w:rPr>
                <w:rFonts w:cs="Arial"/>
              </w:rPr>
            </w:pPr>
            <w:r w:rsidRPr="004F0425">
              <w:rPr>
                <w:rFonts w:cs="Arial"/>
              </w:rPr>
              <w:t>7.0</w:t>
            </w:r>
          </w:p>
        </w:tc>
        <w:tc>
          <w:tcPr>
            <w:tcW w:w="1728" w:type="dxa"/>
            <w:vAlign w:val="bottom"/>
          </w:tcPr>
          <w:p w:rsidR="00892F2A" w:rsidRPr="004F0425" w:rsidRDefault="00892F2A" w:rsidP="00EF15A2">
            <w:pPr>
              <w:jc w:val="right"/>
              <w:rPr>
                <w:rFonts w:cs="Arial"/>
              </w:rPr>
            </w:pPr>
            <w:r w:rsidRPr="004F0425">
              <w:rPr>
                <w:rFonts w:cs="Arial"/>
              </w:rPr>
              <w:t>230,446</w:t>
            </w:r>
          </w:p>
        </w:tc>
        <w:tc>
          <w:tcPr>
            <w:tcW w:w="1440" w:type="dxa"/>
            <w:vAlign w:val="bottom"/>
          </w:tcPr>
          <w:p w:rsidR="00892F2A" w:rsidRPr="004F0425" w:rsidRDefault="00892F2A" w:rsidP="00EF15A2">
            <w:pPr>
              <w:jc w:val="right"/>
              <w:rPr>
                <w:rFonts w:cs="Arial"/>
              </w:rPr>
            </w:pPr>
            <w:r w:rsidRPr="004F0425">
              <w:rPr>
                <w:rFonts w:cs="Arial"/>
              </w:rPr>
              <w:t>9.9</w:t>
            </w:r>
          </w:p>
        </w:tc>
        <w:tc>
          <w:tcPr>
            <w:tcW w:w="1584" w:type="dxa"/>
            <w:vAlign w:val="bottom"/>
          </w:tcPr>
          <w:p w:rsidR="00892F2A" w:rsidRPr="004F0425" w:rsidRDefault="00892F2A" w:rsidP="00EF15A2">
            <w:pPr>
              <w:jc w:val="right"/>
              <w:rPr>
                <w:rFonts w:cs="Arial"/>
              </w:rPr>
            </w:pPr>
            <w:r w:rsidRPr="004F0425">
              <w:rPr>
                <w:rFonts w:cs="Arial"/>
              </w:rPr>
              <w:t>-27.8</w:t>
            </w:r>
          </w:p>
        </w:tc>
      </w:tr>
      <w:tr w:rsidR="00892F2A" w:rsidRPr="004F0425" w:rsidTr="00EF15A2">
        <w:trPr>
          <w:trHeight w:val="225"/>
        </w:trPr>
        <w:tc>
          <w:tcPr>
            <w:tcW w:w="1872" w:type="dxa"/>
            <w:vAlign w:val="bottom"/>
          </w:tcPr>
          <w:p w:rsidR="00892F2A" w:rsidRPr="004F0425" w:rsidRDefault="00892F2A" w:rsidP="00EF15A2">
            <w:pPr>
              <w:rPr>
                <w:rFonts w:cs="Arial"/>
              </w:rPr>
            </w:pPr>
            <w:r w:rsidRPr="004F0425">
              <w:rPr>
                <w:rFonts w:cs="Arial"/>
              </w:rPr>
              <w:t>Huawei</w:t>
            </w:r>
          </w:p>
        </w:tc>
        <w:tc>
          <w:tcPr>
            <w:tcW w:w="1728" w:type="dxa"/>
            <w:vAlign w:val="bottom"/>
          </w:tcPr>
          <w:p w:rsidR="00892F2A" w:rsidRPr="004F0425" w:rsidRDefault="00892F2A" w:rsidP="00EF15A2">
            <w:pPr>
              <w:jc w:val="right"/>
              <w:rPr>
                <w:rFonts w:cs="Arial"/>
              </w:rPr>
            </w:pPr>
            <w:r w:rsidRPr="004F0425">
              <w:rPr>
                <w:rFonts w:cs="Arial"/>
              </w:rPr>
              <w:t>85,919</w:t>
            </w:r>
          </w:p>
        </w:tc>
        <w:tc>
          <w:tcPr>
            <w:tcW w:w="1440" w:type="dxa"/>
            <w:vAlign w:val="bottom"/>
          </w:tcPr>
          <w:p w:rsidR="00892F2A" w:rsidRPr="004F0425" w:rsidRDefault="00892F2A" w:rsidP="00EF15A2">
            <w:pPr>
              <w:jc w:val="right"/>
              <w:rPr>
                <w:rFonts w:cs="Arial"/>
              </w:rPr>
            </w:pPr>
            <w:r w:rsidRPr="004F0425">
              <w:rPr>
                <w:rFonts w:cs="Arial"/>
              </w:rPr>
              <w:t>3.6</w:t>
            </w:r>
          </w:p>
        </w:tc>
        <w:tc>
          <w:tcPr>
            <w:tcW w:w="1728" w:type="dxa"/>
            <w:vAlign w:val="bottom"/>
          </w:tcPr>
          <w:p w:rsidR="00892F2A" w:rsidRPr="004F0425" w:rsidRDefault="00892F2A" w:rsidP="00EF15A2">
            <w:pPr>
              <w:jc w:val="right"/>
              <w:rPr>
                <w:rFonts w:cs="Arial"/>
              </w:rPr>
            </w:pPr>
            <w:r w:rsidRPr="004F0425">
              <w:rPr>
                <w:rFonts w:cs="Arial"/>
              </w:rPr>
              <w:t>53,380</w:t>
            </w:r>
          </w:p>
        </w:tc>
        <w:tc>
          <w:tcPr>
            <w:tcW w:w="1440" w:type="dxa"/>
            <w:vAlign w:val="bottom"/>
          </w:tcPr>
          <w:p w:rsidR="00892F2A" w:rsidRPr="004F0425" w:rsidRDefault="00892F2A" w:rsidP="00EF15A2">
            <w:pPr>
              <w:jc w:val="right"/>
              <w:rPr>
                <w:rFonts w:cs="Arial"/>
              </w:rPr>
            </w:pPr>
            <w:r w:rsidRPr="004F0425">
              <w:rPr>
                <w:rFonts w:cs="Arial"/>
              </w:rPr>
              <w:t>2.3</w:t>
            </w:r>
          </w:p>
        </w:tc>
        <w:tc>
          <w:tcPr>
            <w:tcW w:w="1584" w:type="dxa"/>
            <w:vAlign w:val="bottom"/>
          </w:tcPr>
          <w:p w:rsidR="00892F2A" w:rsidRPr="004F0425" w:rsidRDefault="00892F2A" w:rsidP="00EF15A2">
            <w:pPr>
              <w:jc w:val="right"/>
              <w:rPr>
                <w:rFonts w:cs="Arial"/>
              </w:rPr>
            </w:pPr>
            <w:r w:rsidRPr="004F0425">
              <w:rPr>
                <w:rFonts w:cs="Arial"/>
              </w:rPr>
              <w:t>61.0</w:t>
            </w:r>
          </w:p>
        </w:tc>
      </w:tr>
      <w:tr w:rsidR="00892F2A" w:rsidRPr="004F0425" w:rsidTr="00EF15A2">
        <w:trPr>
          <w:trHeight w:val="225"/>
        </w:trPr>
        <w:tc>
          <w:tcPr>
            <w:tcW w:w="1872" w:type="dxa"/>
            <w:vAlign w:val="bottom"/>
          </w:tcPr>
          <w:p w:rsidR="00892F2A" w:rsidRPr="004F0425" w:rsidRDefault="00892F2A" w:rsidP="00EF15A2">
            <w:pPr>
              <w:rPr>
                <w:rFonts w:cs="Arial"/>
              </w:rPr>
            </w:pPr>
            <w:proofErr w:type="spellStart"/>
            <w:r w:rsidRPr="004F0425">
              <w:rPr>
                <w:rFonts w:cs="Arial"/>
              </w:rPr>
              <w:t>Inspur</w:t>
            </w:r>
            <w:proofErr w:type="spellEnd"/>
            <w:r w:rsidRPr="004F0425">
              <w:rPr>
                <w:rFonts w:cs="Arial"/>
              </w:rPr>
              <w:t xml:space="preserve"> Electronics</w:t>
            </w:r>
          </w:p>
        </w:tc>
        <w:tc>
          <w:tcPr>
            <w:tcW w:w="1728" w:type="dxa"/>
            <w:vAlign w:val="bottom"/>
          </w:tcPr>
          <w:p w:rsidR="00892F2A" w:rsidRPr="004F0425" w:rsidRDefault="00892F2A" w:rsidP="00EF15A2">
            <w:pPr>
              <w:jc w:val="right"/>
              <w:rPr>
                <w:rFonts w:cs="Arial"/>
              </w:rPr>
            </w:pPr>
            <w:r w:rsidRPr="004F0425">
              <w:rPr>
                <w:rFonts w:cs="Arial"/>
              </w:rPr>
              <w:t>80,929</w:t>
            </w:r>
          </w:p>
        </w:tc>
        <w:tc>
          <w:tcPr>
            <w:tcW w:w="1440" w:type="dxa"/>
            <w:vAlign w:val="bottom"/>
          </w:tcPr>
          <w:p w:rsidR="00892F2A" w:rsidRPr="004F0425" w:rsidRDefault="00892F2A" w:rsidP="00EF15A2">
            <w:pPr>
              <w:jc w:val="right"/>
              <w:rPr>
                <w:rFonts w:cs="Arial"/>
              </w:rPr>
            </w:pPr>
            <w:r w:rsidRPr="004F0425">
              <w:rPr>
                <w:rFonts w:cs="Arial"/>
              </w:rPr>
              <w:t>3.4</w:t>
            </w:r>
          </w:p>
        </w:tc>
        <w:tc>
          <w:tcPr>
            <w:tcW w:w="1728" w:type="dxa"/>
            <w:vAlign w:val="bottom"/>
          </w:tcPr>
          <w:p w:rsidR="00892F2A" w:rsidRPr="004F0425" w:rsidRDefault="00892F2A" w:rsidP="00EF15A2">
            <w:pPr>
              <w:jc w:val="right"/>
              <w:rPr>
                <w:rFonts w:cs="Arial"/>
              </w:rPr>
            </w:pPr>
            <w:r w:rsidRPr="004F0425">
              <w:rPr>
                <w:rFonts w:cs="Arial"/>
              </w:rPr>
              <w:t>20,823</w:t>
            </w:r>
          </w:p>
        </w:tc>
        <w:tc>
          <w:tcPr>
            <w:tcW w:w="1440" w:type="dxa"/>
            <w:vAlign w:val="bottom"/>
          </w:tcPr>
          <w:p w:rsidR="00892F2A" w:rsidRPr="004F0425" w:rsidRDefault="00892F2A" w:rsidP="00EF15A2">
            <w:pPr>
              <w:jc w:val="right"/>
              <w:rPr>
                <w:rFonts w:cs="Arial"/>
              </w:rPr>
            </w:pPr>
            <w:r w:rsidRPr="004F0425">
              <w:rPr>
                <w:rFonts w:cs="Arial"/>
              </w:rPr>
              <w:t>0.9</w:t>
            </w:r>
          </w:p>
        </w:tc>
        <w:tc>
          <w:tcPr>
            <w:tcW w:w="1584" w:type="dxa"/>
            <w:vAlign w:val="bottom"/>
          </w:tcPr>
          <w:p w:rsidR="00892F2A" w:rsidRPr="004F0425" w:rsidRDefault="00892F2A" w:rsidP="00EF15A2">
            <w:pPr>
              <w:jc w:val="right"/>
              <w:rPr>
                <w:rFonts w:cs="Arial"/>
              </w:rPr>
            </w:pPr>
            <w:r w:rsidRPr="004F0425">
              <w:rPr>
                <w:rFonts w:cs="Arial"/>
              </w:rPr>
              <w:t>288.7</w:t>
            </w:r>
          </w:p>
        </w:tc>
      </w:tr>
      <w:tr w:rsidR="00892F2A" w:rsidRPr="004F0425" w:rsidTr="00EF15A2">
        <w:trPr>
          <w:trHeight w:val="240"/>
        </w:trPr>
        <w:tc>
          <w:tcPr>
            <w:tcW w:w="1872" w:type="dxa"/>
            <w:vAlign w:val="bottom"/>
          </w:tcPr>
          <w:p w:rsidR="00892F2A" w:rsidRPr="004F0425" w:rsidRDefault="00892F2A" w:rsidP="00EF15A2">
            <w:pPr>
              <w:rPr>
                <w:rFonts w:cs="Arial"/>
              </w:rPr>
            </w:pPr>
            <w:r w:rsidRPr="004F0425">
              <w:rPr>
                <w:rFonts w:cs="Arial"/>
              </w:rPr>
              <w:t>Others</w:t>
            </w:r>
          </w:p>
        </w:tc>
        <w:tc>
          <w:tcPr>
            <w:tcW w:w="1728" w:type="dxa"/>
            <w:vAlign w:val="bottom"/>
          </w:tcPr>
          <w:p w:rsidR="00892F2A" w:rsidRPr="004F0425" w:rsidRDefault="00892F2A" w:rsidP="00EF15A2">
            <w:pPr>
              <w:jc w:val="right"/>
              <w:rPr>
                <w:rFonts w:cs="Arial"/>
              </w:rPr>
            </w:pPr>
            <w:r w:rsidRPr="004F0425">
              <w:rPr>
                <w:rFonts w:cs="Arial"/>
              </w:rPr>
              <w:t xml:space="preserve"> 1,029,760 </w:t>
            </w:r>
          </w:p>
        </w:tc>
        <w:tc>
          <w:tcPr>
            <w:tcW w:w="1440" w:type="dxa"/>
            <w:vAlign w:val="bottom"/>
          </w:tcPr>
          <w:p w:rsidR="00892F2A" w:rsidRPr="004F0425" w:rsidRDefault="00892F2A" w:rsidP="00EF15A2">
            <w:pPr>
              <w:jc w:val="right"/>
              <w:rPr>
                <w:rFonts w:cs="Arial"/>
              </w:rPr>
            </w:pPr>
            <w:r w:rsidRPr="004F0425">
              <w:rPr>
                <w:rFonts w:cs="Arial"/>
              </w:rPr>
              <w:t>43.6</w:t>
            </w:r>
          </w:p>
        </w:tc>
        <w:tc>
          <w:tcPr>
            <w:tcW w:w="1728" w:type="dxa"/>
            <w:vAlign w:val="bottom"/>
          </w:tcPr>
          <w:p w:rsidR="00892F2A" w:rsidRPr="004F0425" w:rsidRDefault="00892F2A" w:rsidP="00EF15A2">
            <w:pPr>
              <w:jc w:val="right"/>
              <w:rPr>
                <w:rFonts w:cs="Arial"/>
              </w:rPr>
            </w:pPr>
            <w:r w:rsidRPr="004F0425">
              <w:rPr>
                <w:rFonts w:cs="Arial"/>
              </w:rPr>
              <w:t xml:space="preserve"> 927,536 </w:t>
            </w:r>
          </w:p>
        </w:tc>
        <w:tc>
          <w:tcPr>
            <w:tcW w:w="1440" w:type="dxa"/>
            <w:vAlign w:val="bottom"/>
          </w:tcPr>
          <w:p w:rsidR="00892F2A" w:rsidRPr="004F0425" w:rsidRDefault="00892F2A" w:rsidP="00EF15A2">
            <w:pPr>
              <w:jc w:val="right"/>
              <w:rPr>
                <w:rFonts w:cs="Arial"/>
              </w:rPr>
            </w:pPr>
            <w:r w:rsidRPr="004F0425">
              <w:rPr>
                <w:rFonts w:cs="Arial"/>
              </w:rPr>
              <w:t>39.8</w:t>
            </w:r>
          </w:p>
        </w:tc>
        <w:tc>
          <w:tcPr>
            <w:tcW w:w="1584" w:type="dxa"/>
            <w:vAlign w:val="bottom"/>
          </w:tcPr>
          <w:p w:rsidR="00892F2A" w:rsidRPr="004F0425" w:rsidRDefault="00892F2A" w:rsidP="00EF15A2">
            <w:pPr>
              <w:jc w:val="right"/>
              <w:rPr>
                <w:rFonts w:cs="Arial"/>
              </w:rPr>
            </w:pPr>
            <w:r w:rsidRPr="004F0425">
              <w:rPr>
                <w:rFonts w:cs="Arial"/>
              </w:rPr>
              <w:t>11.0</w:t>
            </w:r>
          </w:p>
        </w:tc>
      </w:tr>
      <w:tr w:rsidR="00892F2A" w:rsidRPr="004F0425" w:rsidTr="00EF15A2">
        <w:trPr>
          <w:trHeight w:val="225"/>
        </w:trPr>
        <w:tc>
          <w:tcPr>
            <w:tcW w:w="1872" w:type="dxa"/>
            <w:vAlign w:val="bottom"/>
          </w:tcPr>
          <w:p w:rsidR="00892F2A" w:rsidRPr="004F0425" w:rsidRDefault="00892F2A" w:rsidP="00EF15A2">
            <w:pPr>
              <w:jc w:val="left"/>
              <w:rPr>
                <w:rFonts w:eastAsia="Batang"/>
                <w:b/>
              </w:rPr>
            </w:pPr>
            <w:r w:rsidRPr="004F0425">
              <w:rPr>
                <w:rFonts w:eastAsia="Batang"/>
                <w:b/>
              </w:rPr>
              <w:t>Total</w:t>
            </w:r>
          </w:p>
        </w:tc>
        <w:tc>
          <w:tcPr>
            <w:tcW w:w="1728" w:type="dxa"/>
            <w:vAlign w:val="bottom"/>
          </w:tcPr>
          <w:p w:rsidR="00892F2A" w:rsidRPr="004F0425" w:rsidRDefault="00892F2A" w:rsidP="00EF15A2">
            <w:pPr>
              <w:jc w:val="right"/>
              <w:rPr>
                <w:rFonts w:cs="Arial"/>
                <w:b/>
              </w:rPr>
            </w:pPr>
            <w:r w:rsidRPr="004F0425">
              <w:rPr>
                <w:rFonts w:cs="Arial"/>
                <w:b/>
              </w:rPr>
              <w:t>2,361,712</w:t>
            </w:r>
          </w:p>
        </w:tc>
        <w:tc>
          <w:tcPr>
            <w:tcW w:w="1440" w:type="dxa"/>
            <w:vAlign w:val="center"/>
          </w:tcPr>
          <w:p w:rsidR="00892F2A" w:rsidRPr="004F0425" w:rsidRDefault="00892F2A" w:rsidP="00EF15A2">
            <w:pPr>
              <w:jc w:val="right"/>
              <w:rPr>
                <w:rFonts w:eastAsia="Batang"/>
                <w:b/>
              </w:rPr>
            </w:pPr>
            <w:r w:rsidRPr="004F0425">
              <w:rPr>
                <w:rFonts w:eastAsia="Batang"/>
                <w:b/>
              </w:rPr>
              <w:t>110.0</w:t>
            </w:r>
          </w:p>
        </w:tc>
        <w:tc>
          <w:tcPr>
            <w:tcW w:w="1728" w:type="dxa"/>
            <w:vAlign w:val="bottom"/>
          </w:tcPr>
          <w:p w:rsidR="00892F2A" w:rsidRPr="004F0425" w:rsidRDefault="00892F2A" w:rsidP="00EF15A2">
            <w:pPr>
              <w:jc w:val="right"/>
              <w:rPr>
                <w:rFonts w:cs="Arial"/>
                <w:b/>
              </w:rPr>
            </w:pPr>
            <w:r w:rsidRPr="004F0425">
              <w:rPr>
                <w:rFonts w:cs="Arial"/>
                <w:b/>
              </w:rPr>
              <w:t>2,329,103</w:t>
            </w:r>
          </w:p>
        </w:tc>
        <w:tc>
          <w:tcPr>
            <w:tcW w:w="1440" w:type="dxa"/>
            <w:vAlign w:val="center"/>
          </w:tcPr>
          <w:p w:rsidR="00892F2A" w:rsidRPr="004F0425" w:rsidRDefault="00892F2A" w:rsidP="00EF15A2">
            <w:pPr>
              <w:jc w:val="right"/>
              <w:rPr>
                <w:rFonts w:eastAsia="Batang"/>
                <w:b/>
              </w:rPr>
            </w:pPr>
            <w:r w:rsidRPr="004F0425">
              <w:rPr>
                <w:rFonts w:eastAsia="Batang"/>
                <w:b/>
              </w:rPr>
              <w:t>100.0</w:t>
            </w:r>
          </w:p>
        </w:tc>
        <w:tc>
          <w:tcPr>
            <w:tcW w:w="1584" w:type="dxa"/>
            <w:vAlign w:val="center"/>
          </w:tcPr>
          <w:p w:rsidR="00892F2A" w:rsidRPr="004F0425" w:rsidRDefault="00892F2A" w:rsidP="00EF15A2">
            <w:pPr>
              <w:jc w:val="right"/>
              <w:rPr>
                <w:rFonts w:eastAsia="Batang"/>
                <w:b/>
              </w:rPr>
            </w:pPr>
            <w:r w:rsidRPr="004F0425">
              <w:rPr>
                <w:rFonts w:eastAsia="Batang"/>
                <w:b/>
              </w:rPr>
              <w:t>1.4</w:t>
            </w:r>
          </w:p>
        </w:tc>
      </w:tr>
    </w:tbl>
    <w:p w:rsidR="00892F2A" w:rsidRPr="004F0425" w:rsidRDefault="004A22A6" w:rsidP="00892F2A">
      <w:pPr>
        <w:pStyle w:val="contact"/>
        <w:rPr>
          <w:rFonts w:ascii="Arial" w:hAnsi="Arial"/>
          <w:sz w:val="16"/>
          <w:szCs w:val="16"/>
        </w:rPr>
      </w:pPr>
      <w:r w:rsidRPr="004F0425">
        <w:rPr>
          <w:rFonts w:ascii="Arial" w:hAnsi="Arial"/>
          <w:sz w:val="16"/>
          <w:szCs w:val="16"/>
        </w:rPr>
        <w:t>Source: Gartner (May 2014)</w:t>
      </w:r>
    </w:p>
    <w:p w:rsidR="00892F2A" w:rsidRPr="004F0425" w:rsidRDefault="00892F2A" w:rsidP="00892F2A">
      <w:pPr>
        <w:pStyle w:val="BodyText"/>
        <w:widowControl/>
        <w:spacing w:after="0" w:line="240" w:lineRule="auto"/>
        <w:rPr>
          <w:szCs w:val="22"/>
        </w:rPr>
      </w:pPr>
    </w:p>
    <w:p w:rsidR="00892F2A" w:rsidRPr="004F0425" w:rsidRDefault="00892F2A" w:rsidP="00892F2A">
      <w:pPr>
        <w:jc w:val="left"/>
        <w:rPr>
          <w:rFonts w:cs="Arial"/>
          <w:sz w:val="22"/>
          <w:szCs w:val="22"/>
        </w:rPr>
      </w:pPr>
      <w:r w:rsidRPr="004F0425">
        <w:rPr>
          <w:rFonts w:cs="Arial"/>
          <w:sz w:val="22"/>
          <w:szCs w:val="22"/>
        </w:rPr>
        <w:t xml:space="preserve">In terms of server form factors, x86 blade servers decreased 3.9 </w:t>
      </w:r>
      <w:r w:rsidR="004F0425">
        <w:rPr>
          <w:rFonts w:cs="Arial"/>
          <w:sz w:val="22"/>
          <w:szCs w:val="22"/>
        </w:rPr>
        <w:t>per cent</w:t>
      </w:r>
      <w:r w:rsidRPr="004F0425">
        <w:rPr>
          <w:rFonts w:cs="Arial"/>
          <w:sz w:val="22"/>
          <w:szCs w:val="22"/>
        </w:rPr>
        <w:t xml:space="preserve"> in shipments, but increased 5.2 </w:t>
      </w:r>
      <w:r w:rsidR="004F0425">
        <w:rPr>
          <w:rFonts w:cs="Arial"/>
          <w:sz w:val="22"/>
          <w:szCs w:val="22"/>
        </w:rPr>
        <w:t>per cent</w:t>
      </w:r>
      <w:r w:rsidRPr="004F0425">
        <w:rPr>
          <w:rFonts w:cs="Arial"/>
          <w:sz w:val="22"/>
          <w:szCs w:val="22"/>
        </w:rPr>
        <w:t xml:space="preserve"> in revenue for the quarter. The rack-optimi</w:t>
      </w:r>
      <w:r w:rsidR="004F0425">
        <w:rPr>
          <w:rFonts w:cs="Arial"/>
          <w:sz w:val="22"/>
          <w:szCs w:val="22"/>
        </w:rPr>
        <w:t>s</w:t>
      </w:r>
      <w:r w:rsidRPr="004F0425">
        <w:rPr>
          <w:rFonts w:cs="Arial"/>
          <w:sz w:val="22"/>
          <w:szCs w:val="22"/>
        </w:rPr>
        <w:t xml:space="preserve">ed form factor climbed 1.4 </w:t>
      </w:r>
      <w:r w:rsidR="004F0425">
        <w:rPr>
          <w:rFonts w:cs="Arial"/>
          <w:sz w:val="22"/>
          <w:szCs w:val="22"/>
        </w:rPr>
        <w:t>per cent</w:t>
      </w:r>
      <w:r w:rsidRPr="004F0425">
        <w:rPr>
          <w:rFonts w:cs="Arial"/>
          <w:sz w:val="22"/>
          <w:szCs w:val="22"/>
        </w:rPr>
        <w:t xml:space="preserve"> in shipments and 1.7 </w:t>
      </w:r>
      <w:r w:rsidR="004F0425">
        <w:rPr>
          <w:rFonts w:cs="Arial"/>
          <w:sz w:val="22"/>
          <w:szCs w:val="22"/>
        </w:rPr>
        <w:t>per cent</w:t>
      </w:r>
      <w:r w:rsidRPr="004F0425">
        <w:rPr>
          <w:rFonts w:cs="Arial"/>
          <w:sz w:val="22"/>
          <w:szCs w:val="22"/>
        </w:rPr>
        <w:t xml:space="preserve"> in revenue in the first quarter of 2014.</w:t>
      </w:r>
    </w:p>
    <w:p w:rsidR="00471E05" w:rsidRPr="004F0425" w:rsidRDefault="00471E05" w:rsidP="00892F2A">
      <w:pPr>
        <w:jc w:val="left"/>
        <w:rPr>
          <w:rFonts w:cs="Arial"/>
          <w:sz w:val="22"/>
          <w:szCs w:val="22"/>
        </w:rPr>
      </w:pPr>
    </w:p>
    <w:p w:rsidR="00EB704D" w:rsidRPr="004F0425" w:rsidRDefault="00EB704D" w:rsidP="00EB704D">
      <w:pPr>
        <w:pStyle w:val="BodyText"/>
        <w:spacing w:after="0" w:line="240" w:lineRule="auto"/>
        <w:rPr>
          <w:szCs w:val="22"/>
        </w:rPr>
      </w:pPr>
      <w:r w:rsidRPr="004F0425">
        <w:rPr>
          <w:szCs w:val="22"/>
        </w:rPr>
        <w:t xml:space="preserve">In Europe, the Middle East and Africa (EMEA), </w:t>
      </w:r>
      <w:r w:rsidR="003C3BE4" w:rsidRPr="004F0425">
        <w:rPr>
          <w:szCs w:val="22"/>
        </w:rPr>
        <w:t xml:space="preserve">while server </w:t>
      </w:r>
      <w:r w:rsidRPr="004F0425">
        <w:rPr>
          <w:szCs w:val="22"/>
        </w:rPr>
        <w:t>shipments</w:t>
      </w:r>
      <w:r w:rsidR="003C3BE4" w:rsidRPr="004F0425">
        <w:rPr>
          <w:szCs w:val="22"/>
        </w:rPr>
        <w:t xml:space="preserve"> continued to</w:t>
      </w:r>
      <w:r w:rsidRPr="004F0425">
        <w:rPr>
          <w:szCs w:val="22"/>
        </w:rPr>
        <w:t xml:space="preserve"> decline</w:t>
      </w:r>
      <w:r w:rsidR="003C3BE4" w:rsidRPr="004F0425">
        <w:rPr>
          <w:szCs w:val="22"/>
        </w:rPr>
        <w:t xml:space="preserve"> </w:t>
      </w:r>
      <w:r w:rsidRPr="004F0425">
        <w:rPr>
          <w:szCs w:val="22"/>
        </w:rPr>
        <w:t>in the first quarter of 2014</w:t>
      </w:r>
      <w:r w:rsidR="004D42DA" w:rsidRPr="004F0425">
        <w:rPr>
          <w:szCs w:val="22"/>
        </w:rPr>
        <w:t>,</w:t>
      </w:r>
      <w:r w:rsidRPr="004F0425">
        <w:rPr>
          <w:szCs w:val="22"/>
        </w:rPr>
        <w:t xml:space="preserve"> revenues grew for the first time after 10 consecutive quarters of year</w:t>
      </w:r>
      <w:r w:rsidR="003C3BE4" w:rsidRPr="004F0425">
        <w:rPr>
          <w:szCs w:val="22"/>
        </w:rPr>
        <w:t>-o</w:t>
      </w:r>
      <w:r w:rsidR="00B620FE" w:rsidRPr="004F0425">
        <w:rPr>
          <w:szCs w:val="22"/>
        </w:rPr>
        <w:t>ver</w:t>
      </w:r>
      <w:r w:rsidR="003C3BE4" w:rsidRPr="004F0425">
        <w:rPr>
          <w:szCs w:val="22"/>
        </w:rPr>
        <w:t>-</w:t>
      </w:r>
      <w:r w:rsidRPr="004F0425">
        <w:rPr>
          <w:szCs w:val="22"/>
        </w:rPr>
        <w:t xml:space="preserve">year declines. Server shipments </w:t>
      </w:r>
      <w:r w:rsidR="004F0425" w:rsidRPr="004F0425">
        <w:rPr>
          <w:szCs w:val="22"/>
        </w:rPr>
        <w:t>totalled</w:t>
      </w:r>
      <w:r w:rsidRPr="004F0425">
        <w:rPr>
          <w:szCs w:val="22"/>
        </w:rPr>
        <w:t xml:space="preserve"> 547,900 units, a decrease of 6.1 </w:t>
      </w:r>
      <w:r w:rsidR="004F0425">
        <w:rPr>
          <w:szCs w:val="22"/>
        </w:rPr>
        <w:t>per cent</w:t>
      </w:r>
      <w:r w:rsidRPr="004F0425">
        <w:rPr>
          <w:szCs w:val="22"/>
        </w:rPr>
        <w:t xml:space="preserve"> from the </w:t>
      </w:r>
      <w:r w:rsidR="003C3BE4" w:rsidRPr="004F0425">
        <w:rPr>
          <w:szCs w:val="22"/>
        </w:rPr>
        <w:t>first quarter of 2013</w:t>
      </w:r>
      <w:r w:rsidRPr="004F0425">
        <w:rPr>
          <w:szCs w:val="22"/>
        </w:rPr>
        <w:t xml:space="preserve"> (see Table 4). Server revenue </w:t>
      </w:r>
      <w:r w:rsidR="004F0425" w:rsidRPr="004F0425">
        <w:rPr>
          <w:szCs w:val="22"/>
        </w:rPr>
        <w:t>totalled</w:t>
      </w:r>
      <w:r w:rsidR="003C3BE4" w:rsidRPr="004F0425">
        <w:rPr>
          <w:szCs w:val="22"/>
        </w:rPr>
        <w:t xml:space="preserve"> </w:t>
      </w:r>
      <w:r w:rsidRPr="004F0425">
        <w:rPr>
          <w:szCs w:val="22"/>
        </w:rPr>
        <w:t xml:space="preserve">$3.0 billion, an increase of 2.5 </w:t>
      </w:r>
      <w:r w:rsidR="004F0425">
        <w:rPr>
          <w:szCs w:val="22"/>
        </w:rPr>
        <w:t>per cent</w:t>
      </w:r>
      <w:r w:rsidRPr="004F0425">
        <w:rPr>
          <w:szCs w:val="22"/>
        </w:rPr>
        <w:t xml:space="preserve"> </w:t>
      </w:r>
      <w:r w:rsidR="00B620FE" w:rsidRPr="004F0425">
        <w:rPr>
          <w:szCs w:val="22"/>
        </w:rPr>
        <w:t>in the first quarter of 2014</w:t>
      </w:r>
      <w:r w:rsidRPr="004F0425">
        <w:rPr>
          <w:szCs w:val="22"/>
        </w:rPr>
        <w:t xml:space="preserve"> (see Table 3).  </w:t>
      </w:r>
    </w:p>
    <w:p w:rsidR="00EB704D" w:rsidRPr="004F0425" w:rsidRDefault="00EB704D" w:rsidP="00EB704D">
      <w:pPr>
        <w:pStyle w:val="BodyText"/>
        <w:spacing w:after="0" w:line="240" w:lineRule="auto"/>
        <w:rPr>
          <w:szCs w:val="22"/>
        </w:rPr>
      </w:pPr>
    </w:p>
    <w:p w:rsidR="00EB704D" w:rsidRPr="004F0425" w:rsidRDefault="00EB704D" w:rsidP="00EB704D">
      <w:pPr>
        <w:pStyle w:val="BodyText"/>
        <w:spacing w:after="0" w:line="240" w:lineRule="auto"/>
        <w:rPr>
          <w:szCs w:val="22"/>
        </w:rPr>
      </w:pPr>
      <w:r w:rsidRPr="004F0425">
        <w:rPr>
          <w:szCs w:val="22"/>
        </w:rPr>
        <w:t>“Although shipments contracted, the fact that the</w:t>
      </w:r>
      <w:r w:rsidR="003C3BE4" w:rsidRPr="004F0425">
        <w:rPr>
          <w:szCs w:val="22"/>
        </w:rPr>
        <w:t xml:space="preserve"> server</w:t>
      </w:r>
      <w:r w:rsidRPr="004F0425">
        <w:rPr>
          <w:szCs w:val="22"/>
        </w:rPr>
        <w:t xml:space="preserve"> market has</w:t>
      </w:r>
      <w:r w:rsidR="003C3BE4" w:rsidRPr="004F0425">
        <w:rPr>
          <w:szCs w:val="22"/>
        </w:rPr>
        <w:t xml:space="preserve"> finally </w:t>
      </w:r>
      <w:r w:rsidR="004D42DA" w:rsidRPr="004F0425">
        <w:rPr>
          <w:szCs w:val="22"/>
        </w:rPr>
        <w:t>shown revenue</w:t>
      </w:r>
      <w:r w:rsidR="003C3BE4" w:rsidRPr="004F0425">
        <w:rPr>
          <w:szCs w:val="22"/>
        </w:rPr>
        <w:t xml:space="preserve"> growth </w:t>
      </w:r>
      <w:r w:rsidR="004D42DA" w:rsidRPr="004F0425">
        <w:rPr>
          <w:szCs w:val="22"/>
        </w:rPr>
        <w:t xml:space="preserve">will be </w:t>
      </w:r>
      <w:r w:rsidRPr="004F0425">
        <w:rPr>
          <w:szCs w:val="22"/>
        </w:rPr>
        <w:t>a welcome relief for</w:t>
      </w:r>
      <w:r w:rsidR="003C3BE4" w:rsidRPr="004F0425">
        <w:rPr>
          <w:szCs w:val="22"/>
        </w:rPr>
        <w:t xml:space="preserve"> </w:t>
      </w:r>
      <w:r w:rsidRPr="004F0425">
        <w:rPr>
          <w:szCs w:val="22"/>
        </w:rPr>
        <w:t xml:space="preserve">server vendors,” said Adrian O’Connell, research director at Gartner. “The business environment </w:t>
      </w:r>
      <w:r w:rsidR="003C3BE4" w:rsidRPr="004F0425">
        <w:rPr>
          <w:szCs w:val="22"/>
        </w:rPr>
        <w:t>in EMEA</w:t>
      </w:r>
      <w:r w:rsidRPr="004F0425">
        <w:rPr>
          <w:szCs w:val="22"/>
        </w:rPr>
        <w:t xml:space="preserve"> remains challenging, but the severe declines that </w:t>
      </w:r>
      <w:r w:rsidR="003C3BE4" w:rsidRPr="004F0425">
        <w:rPr>
          <w:szCs w:val="22"/>
        </w:rPr>
        <w:t>we’ve witnessed</w:t>
      </w:r>
      <w:r w:rsidRPr="004F0425">
        <w:rPr>
          <w:szCs w:val="22"/>
        </w:rPr>
        <w:t xml:space="preserve"> in the non-x86 product segments have abated, </w:t>
      </w:r>
      <w:r w:rsidR="008E6A46" w:rsidRPr="004F0425">
        <w:rPr>
          <w:szCs w:val="22"/>
        </w:rPr>
        <w:t xml:space="preserve">at least </w:t>
      </w:r>
      <w:r w:rsidR="003C3BE4" w:rsidRPr="004F0425">
        <w:rPr>
          <w:szCs w:val="22"/>
        </w:rPr>
        <w:t>in the first quarter of 2014</w:t>
      </w:r>
      <w:r w:rsidRPr="004F0425">
        <w:rPr>
          <w:szCs w:val="22"/>
        </w:rPr>
        <w:t>.”</w:t>
      </w:r>
    </w:p>
    <w:p w:rsidR="00972E00" w:rsidRPr="004F0425" w:rsidRDefault="00972E00" w:rsidP="00972E00">
      <w:pPr>
        <w:pStyle w:val="BodyText"/>
        <w:spacing w:after="0" w:line="240" w:lineRule="auto"/>
        <w:rPr>
          <w:szCs w:val="22"/>
        </w:rPr>
      </w:pPr>
    </w:p>
    <w:p w:rsidR="00EB704D" w:rsidRPr="004F0425" w:rsidRDefault="00EB704D" w:rsidP="00EB704D">
      <w:pPr>
        <w:pStyle w:val="BodyText"/>
        <w:spacing w:after="0" w:line="240" w:lineRule="auto"/>
        <w:rPr>
          <w:szCs w:val="22"/>
        </w:rPr>
      </w:pPr>
      <w:r w:rsidRPr="004F0425">
        <w:rPr>
          <w:szCs w:val="22"/>
        </w:rPr>
        <w:t xml:space="preserve">From a regional perspective, Eastern Europe experienced the </w:t>
      </w:r>
      <w:r w:rsidR="004D42DA" w:rsidRPr="004F0425">
        <w:rPr>
          <w:szCs w:val="22"/>
        </w:rPr>
        <w:t xml:space="preserve">largest </w:t>
      </w:r>
      <w:r w:rsidR="003C3BE4" w:rsidRPr="004F0425">
        <w:rPr>
          <w:szCs w:val="22"/>
        </w:rPr>
        <w:t>revenue decline of</w:t>
      </w:r>
      <w:r w:rsidRPr="004F0425">
        <w:rPr>
          <w:szCs w:val="22"/>
        </w:rPr>
        <w:t xml:space="preserve"> 14.5</w:t>
      </w:r>
      <w:r w:rsidR="003C3BE4" w:rsidRPr="004F0425">
        <w:rPr>
          <w:szCs w:val="22"/>
        </w:rPr>
        <w:t xml:space="preserve"> </w:t>
      </w:r>
      <w:r w:rsidR="004F0425">
        <w:rPr>
          <w:szCs w:val="22"/>
        </w:rPr>
        <w:t>per cent</w:t>
      </w:r>
      <w:r w:rsidR="003C3BE4" w:rsidRPr="004F0425">
        <w:rPr>
          <w:szCs w:val="22"/>
        </w:rPr>
        <w:t xml:space="preserve"> in the first quarter of 2014</w:t>
      </w:r>
      <w:r w:rsidRPr="004F0425">
        <w:rPr>
          <w:szCs w:val="22"/>
        </w:rPr>
        <w:t xml:space="preserve">. </w:t>
      </w:r>
      <w:r w:rsidR="004D42DA" w:rsidRPr="004F0425">
        <w:rPr>
          <w:szCs w:val="22"/>
        </w:rPr>
        <w:t>Server revenues</w:t>
      </w:r>
      <w:r w:rsidR="003C3BE4" w:rsidRPr="004F0425">
        <w:rPr>
          <w:szCs w:val="22"/>
        </w:rPr>
        <w:t xml:space="preserve"> in the</w:t>
      </w:r>
      <w:r w:rsidRPr="004F0425">
        <w:rPr>
          <w:szCs w:val="22"/>
        </w:rPr>
        <w:t xml:space="preserve"> Middle East and Africa</w:t>
      </w:r>
      <w:r w:rsidR="004D42DA" w:rsidRPr="004F0425">
        <w:rPr>
          <w:szCs w:val="22"/>
        </w:rPr>
        <w:t xml:space="preserve"> region</w:t>
      </w:r>
      <w:r w:rsidRPr="004F0425">
        <w:rPr>
          <w:szCs w:val="22"/>
        </w:rPr>
        <w:t xml:space="preserve"> declined 3.6</w:t>
      </w:r>
      <w:r w:rsidR="003C3BE4" w:rsidRPr="004F0425">
        <w:rPr>
          <w:szCs w:val="22"/>
        </w:rPr>
        <w:t xml:space="preserve"> </w:t>
      </w:r>
      <w:r w:rsidR="004F0425">
        <w:rPr>
          <w:szCs w:val="22"/>
        </w:rPr>
        <w:t>per cent</w:t>
      </w:r>
      <w:r w:rsidR="003C3BE4" w:rsidRPr="004F0425">
        <w:rPr>
          <w:szCs w:val="22"/>
        </w:rPr>
        <w:t xml:space="preserve">, </w:t>
      </w:r>
      <w:r w:rsidRPr="004F0425">
        <w:rPr>
          <w:szCs w:val="22"/>
        </w:rPr>
        <w:t xml:space="preserve">but Western Europe achieved </w:t>
      </w:r>
      <w:r w:rsidR="00B620FE" w:rsidRPr="004F0425">
        <w:rPr>
          <w:szCs w:val="22"/>
        </w:rPr>
        <w:t xml:space="preserve">an </w:t>
      </w:r>
      <w:r w:rsidRPr="004F0425">
        <w:rPr>
          <w:szCs w:val="22"/>
        </w:rPr>
        <w:t>increase of 6.7</w:t>
      </w:r>
      <w:r w:rsidR="003C3BE4" w:rsidRPr="004F0425">
        <w:rPr>
          <w:szCs w:val="22"/>
        </w:rPr>
        <w:t xml:space="preserve"> </w:t>
      </w:r>
      <w:r w:rsidR="004F0425">
        <w:rPr>
          <w:szCs w:val="22"/>
        </w:rPr>
        <w:t>per cent</w:t>
      </w:r>
      <w:r w:rsidR="00B620FE" w:rsidRPr="004F0425">
        <w:rPr>
          <w:szCs w:val="22"/>
        </w:rPr>
        <w:t xml:space="preserve"> in revenue</w:t>
      </w:r>
      <w:r w:rsidRPr="004F0425">
        <w:rPr>
          <w:szCs w:val="22"/>
        </w:rPr>
        <w:t>.</w:t>
      </w:r>
    </w:p>
    <w:p w:rsidR="00972E00" w:rsidRPr="004F0425" w:rsidRDefault="00972E00" w:rsidP="00972E00">
      <w:pPr>
        <w:pStyle w:val="BodyText"/>
        <w:spacing w:after="0" w:line="240" w:lineRule="auto"/>
        <w:rPr>
          <w:szCs w:val="22"/>
        </w:rPr>
      </w:pPr>
    </w:p>
    <w:p w:rsidR="00EB704D" w:rsidRPr="004F0425" w:rsidRDefault="00EB704D" w:rsidP="00EB704D">
      <w:pPr>
        <w:pStyle w:val="BodyText"/>
        <w:spacing w:after="0" w:line="240" w:lineRule="auto"/>
        <w:rPr>
          <w:szCs w:val="22"/>
        </w:rPr>
      </w:pPr>
      <w:r w:rsidRPr="004F0425">
        <w:rPr>
          <w:szCs w:val="22"/>
        </w:rPr>
        <w:t xml:space="preserve">In the first quarter of 2014, x86 server revenue increased 3.4 </w:t>
      </w:r>
      <w:r w:rsidR="004F0425">
        <w:rPr>
          <w:szCs w:val="22"/>
        </w:rPr>
        <w:t>per cent</w:t>
      </w:r>
      <w:r w:rsidRPr="004F0425">
        <w:rPr>
          <w:szCs w:val="22"/>
        </w:rPr>
        <w:t xml:space="preserve">, while RISC/Itanium UNIX revenue declined 3.4 </w:t>
      </w:r>
      <w:r w:rsidR="004F0425">
        <w:rPr>
          <w:szCs w:val="22"/>
        </w:rPr>
        <w:t>per cent</w:t>
      </w:r>
      <w:r w:rsidRPr="004F0425">
        <w:rPr>
          <w:szCs w:val="22"/>
        </w:rPr>
        <w:t xml:space="preserve"> and the Other CPU segment revenue increased 8.6 </w:t>
      </w:r>
      <w:r w:rsidR="004F0425">
        <w:rPr>
          <w:szCs w:val="22"/>
        </w:rPr>
        <w:t>per cent</w:t>
      </w:r>
      <w:r w:rsidRPr="004F0425">
        <w:rPr>
          <w:szCs w:val="22"/>
        </w:rPr>
        <w:t>. “Platform migrations continue</w:t>
      </w:r>
      <w:r w:rsidR="003C3BE4" w:rsidRPr="004F0425">
        <w:rPr>
          <w:szCs w:val="22"/>
        </w:rPr>
        <w:t>d</w:t>
      </w:r>
      <w:r w:rsidRPr="004F0425">
        <w:rPr>
          <w:szCs w:val="22"/>
        </w:rPr>
        <w:t xml:space="preserve"> to be a factor but the rate of these declines has slowed</w:t>
      </w:r>
      <w:r w:rsidR="003C3BE4" w:rsidRPr="004F0425">
        <w:rPr>
          <w:szCs w:val="22"/>
        </w:rPr>
        <w:t xml:space="preserve"> and the worst </w:t>
      </w:r>
      <w:r w:rsidR="008E6A46" w:rsidRPr="004F0425">
        <w:rPr>
          <w:szCs w:val="22"/>
        </w:rPr>
        <w:t>rates of decline</w:t>
      </w:r>
      <w:r w:rsidR="003C3BE4" w:rsidRPr="004F0425">
        <w:rPr>
          <w:szCs w:val="22"/>
        </w:rPr>
        <w:t xml:space="preserve"> may be behind us,”</w:t>
      </w:r>
      <w:r w:rsidR="004D42DA" w:rsidRPr="004F0425">
        <w:rPr>
          <w:szCs w:val="22"/>
        </w:rPr>
        <w:t xml:space="preserve"> </w:t>
      </w:r>
      <w:r w:rsidRPr="004F0425">
        <w:rPr>
          <w:szCs w:val="22"/>
        </w:rPr>
        <w:t xml:space="preserve">said </w:t>
      </w:r>
      <w:r w:rsidR="004F0425">
        <w:rPr>
          <w:szCs w:val="22"/>
        </w:rPr>
        <w:t>Mr</w:t>
      </w:r>
      <w:r w:rsidRPr="004F0425">
        <w:rPr>
          <w:szCs w:val="22"/>
        </w:rPr>
        <w:t xml:space="preserve"> O’Connell.</w:t>
      </w:r>
    </w:p>
    <w:p w:rsidR="00EB704D" w:rsidRPr="004F0425" w:rsidRDefault="00EB704D" w:rsidP="00EB704D">
      <w:pPr>
        <w:pStyle w:val="BodyText"/>
        <w:spacing w:after="0" w:line="240" w:lineRule="auto"/>
        <w:rPr>
          <w:szCs w:val="22"/>
        </w:rPr>
      </w:pPr>
    </w:p>
    <w:p w:rsidR="00EB704D" w:rsidRPr="004F0425" w:rsidRDefault="00EB704D" w:rsidP="00EB704D">
      <w:pPr>
        <w:pStyle w:val="BodyText"/>
        <w:spacing w:after="0" w:line="240" w:lineRule="auto"/>
        <w:rPr>
          <w:szCs w:val="22"/>
        </w:rPr>
      </w:pPr>
      <w:r w:rsidRPr="004F0425">
        <w:rPr>
          <w:szCs w:val="22"/>
        </w:rPr>
        <w:t>In the first quarter of 2014 HP extended its revenue share lead with 5.1</w:t>
      </w:r>
      <w:r w:rsidR="004D42DA" w:rsidRPr="004F0425">
        <w:rPr>
          <w:szCs w:val="22"/>
        </w:rPr>
        <w:t xml:space="preserve"> </w:t>
      </w:r>
      <w:r w:rsidR="004F0425">
        <w:rPr>
          <w:szCs w:val="22"/>
        </w:rPr>
        <w:t>per cent</w:t>
      </w:r>
      <w:r w:rsidRPr="004F0425">
        <w:rPr>
          <w:szCs w:val="22"/>
        </w:rPr>
        <w:t xml:space="preserve"> growth, despite experiencing a slight decline in</w:t>
      </w:r>
      <w:r w:rsidR="009A7E83" w:rsidRPr="004F0425">
        <w:rPr>
          <w:szCs w:val="22"/>
        </w:rPr>
        <w:t xml:space="preserve"> server</w:t>
      </w:r>
      <w:r w:rsidRPr="004F0425">
        <w:rPr>
          <w:szCs w:val="22"/>
        </w:rPr>
        <w:t xml:space="preserve"> shipments. HP continue</w:t>
      </w:r>
      <w:r w:rsidR="009A7E83" w:rsidRPr="004F0425">
        <w:rPr>
          <w:szCs w:val="22"/>
        </w:rPr>
        <w:t>d</w:t>
      </w:r>
      <w:r w:rsidRPr="004F0425">
        <w:rPr>
          <w:szCs w:val="22"/>
        </w:rPr>
        <w:t xml:space="preserve"> to improve its execution and also benefi</w:t>
      </w:r>
      <w:r w:rsidR="009A7E83" w:rsidRPr="004F0425">
        <w:rPr>
          <w:szCs w:val="22"/>
        </w:rPr>
        <w:t>ted</w:t>
      </w:r>
      <w:r w:rsidRPr="004F0425">
        <w:rPr>
          <w:szCs w:val="22"/>
        </w:rPr>
        <w:t xml:space="preserve"> from </w:t>
      </w:r>
      <w:r w:rsidR="009A7E83" w:rsidRPr="004F0425">
        <w:rPr>
          <w:szCs w:val="22"/>
        </w:rPr>
        <w:t xml:space="preserve">its </w:t>
      </w:r>
      <w:r w:rsidRPr="004F0425">
        <w:rPr>
          <w:szCs w:val="22"/>
        </w:rPr>
        <w:t>competitors’ difficulties. Second-ranked IBM continue</w:t>
      </w:r>
      <w:r w:rsidR="009A7E83" w:rsidRPr="004F0425">
        <w:rPr>
          <w:szCs w:val="22"/>
        </w:rPr>
        <w:t>d</w:t>
      </w:r>
      <w:r w:rsidRPr="004F0425">
        <w:rPr>
          <w:szCs w:val="22"/>
        </w:rPr>
        <w:t xml:space="preserve"> to suffer from cyclically weak product lifecycles</w:t>
      </w:r>
      <w:r w:rsidR="00B620FE" w:rsidRPr="004F0425">
        <w:rPr>
          <w:szCs w:val="22"/>
        </w:rPr>
        <w:t>,</w:t>
      </w:r>
      <w:r w:rsidRPr="004F0425">
        <w:rPr>
          <w:szCs w:val="22"/>
        </w:rPr>
        <w:t xml:space="preserve"> but its </w:t>
      </w:r>
      <w:r w:rsidR="004D42DA" w:rsidRPr="004F0425">
        <w:rPr>
          <w:szCs w:val="22"/>
        </w:rPr>
        <w:t>8.7</w:t>
      </w:r>
      <w:r w:rsidR="009A7E83" w:rsidRPr="004F0425">
        <w:rPr>
          <w:szCs w:val="22"/>
        </w:rPr>
        <w:t xml:space="preserve"> </w:t>
      </w:r>
      <w:r w:rsidR="004F0425">
        <w:rPr>
          <w:szCs w:val="22"/>
        </w:rPr>
        <w:t>per cent</w:t>
      </w:r>
      <w:r w:rsidRPr="004F0425">
        <w:rPr>
          <w:szCs w:val="22"/>
        </w:rPr>
        <w:t xml:space="preserve"> decline was also compounded by additional weakness for its x86 business. Third-placed Dell suffered </w:t>
      </w:r>
      <w:r w:rsidR="006C2A27" w:rsidRPr="004F0425">
        <w:rPr>
          <w:szCs w:val="22"/>
        </w:rPr>
        <w:t>when compared to</w:t>
      </w:r>
      <w:r w:rsidRPr="004F0425">
        <w:rPr>
          <w:szCs w:val="22"/>
        </w:rPr>
        <w:t xml:space="preserve"> a particularly strong first quarter in 2013.</w:t>
      </w:r>
    </w:p>
    <w:p w:rsidR="00EB704D" w:rsidRPr="004F0425" w:rsidRDefault="00EB704D" w:rsidP="00EB704D">
      <w:pPr>
        <w:pStyle w:val="BodyText"/>
        <w:spacing w:after="0" w:line="240" w:lineRule="auto"/>
        <w:rPr>
          <w:szCs w:val="22"/>
        </w:rPr>
      </w:pPr>
    </w:p>
    <w:p w:rsidR="00EB704D" w:rsidRPr="004F0425" w:rsidRDefault="00EB704D" w:rsidP="00EB704D">
      <w:pPr>
        <w:pStyle w:val="BodyText"/>
        <w:spacing w:after="0" w:line="240" w:lineRule="auto"/>
        <w:rPr>
          <w:szCs w:val="22"/>
        </w:rPr>
      </w:pPr>
      <w:r w:rsidRPr="004F0425">
        <w:rPr>
          <w:szCs w:val="22"/>
        </w:rPr>
        <w:t xml:space="preserve">“After </w:t>
      </w:r>
      <w:r w:rsidR="009A7E83" w:rsidRPr="004F0425">
        <w:rPr>
          <w:szCs w:val="22"/>
        </w:rPr>
        <w:t xml:space="preserve">some </w:t>
      </w:r>
      <w:r w:rsidRPr="004F0425">
        <w:rPr>
          <w:szCs w:val="22"/>
        </w:rPr>
        <w:t xml:space="preserve">challenges in 2013, vendors will be relieved to see 2014 get off to a relatively good start,” said </w:t>
      </w:r>
      <w:r w:rsidR="004F0425">
        <w:rPr>
          <w:szCs w:val="22"/>
        </w:rPr>
        <w:t>Mr</w:t>
      </w:r>
      <w:r w:rsidRPr="004F0425">
        <w:rPr>
          <w:szCs w:val="22"/>
        </w:rPr>
        <w:t xml:space="preserve"> O’Connell. “The demand environment is stabili</w:t>
      </w:r>
      <w:r w:rsidR="004F0425">
        <w:rPr>
          <w:szCs w:val="22"/>
        </w:rPr>
        <w:t>s</w:t>
      </w:r>
      <w:r w:rsidRPr="004F0425">
        <w:rPr>
          <w:szCs w:val="22"/>
        </w:rPr>
        <w:t>ing but challenges</w:t>
      </w:r>
      <w:r w:rsidR="009A7E83" w:rsidRPr="004F0425">
        <w:rPr>
          <w:szCs w:val="22"/>
        </w:rPr>
        <w:t xml:space="preserve"> remain</w:t>
      </w:r>
      <w:r w:rsidRPr="004F0425">
        <w:rPr>
          <w:szCs w:val="22"/>
        </w:rPr>
        <w:t xml:space="preserve">. </w:t>
      </w:r>
      <w:r w:rsidR="009A7E83" w:rsidRPr="004F0425">
        <w:rPr>
          <w:szCs w:val="22"/>
        </w:rPr>
        <w:t>We expect u</w:t>
      </w:r>
      <w:r w:rsidRPr="004F0425">
        <w:rPr>
          <w:szCs w:val="22"/>
        </w:rPr>
        <w:t xml:space="preserve">sers will </w:t>
      </w:r>
      <w:r w:rsidRPr="004F0425">
        <w:rPr>
          <w:szCs w:val="22"/>
        </w:rPr>
        <w:lastRenderedPageBreak/>
        <w:t>continue to be conservative in their investments for some time and platform</w:t>
      </w:r>
      <w:r w:rsidR="004D42DA" w:rsidRPr="004F0425">
        <w:rPr>
          <w:szCs w:val="22"/>
        </w:rPr>
        <w:t xml:space="preserve"> </w:t>
      </w:r>
      <w:r w:rsidRPr="004F0425">
        <w:rPr>
          <w:szCs w:val="22"/>
        </w:rPr>
        <w:t xml:space="preserve">migrations will remain a challenging factor. We are likely to see </w:t>
      </w:r>
      <w:r w:rsidR="004D42DA" w:rsidRPr="004F0425">
        <w:rPr>
          <w:szCs w:val="22"/>
        </w:rPr>
        <w:t xml:space="preserve">revenue </w:t>
      </w:r>
      <w:r w:rsidRPr="004F0425">
        <w:rPr>
          <w:szCs w:val="22"/>
        </w:rPr>
        <w:t>growth in 2014</w:t>
      </w:r>
      <w:r w:rsidR="00B620FE" w:rsidRPr="004F0425">
        <w:rPr>
          <w:szCs w:val="22"/>
        </w:rPr>
        <w:t>,</w:t>
      </w:r>
      <w:r w:rsidRPr="004F0425">
        <w:rPr>
          <w:szCs w:val="22"/>
        </w:rPr>
        <w:t xml:space="preserve"> but the reality is that the market is operating from a significantly lower level than it was prior to the downturn in 2008.”</w:t>
      </w:r>
      <w:bookmarkStart w:id="0" w:name="_GoBack"/>
      <w:bookmarkEnd w:id="0"/>
    </w:p>
    <w:p w:rsidR="00972E00" w:rsidRPr="004F0425" w:rsidRDefault="00972E00" w:rsidP="00972E00">
      <w:pPr>
        <w:jc w:val="left"/>
        <w:rPr>
          <w:sz w:val="22"/>
          <w:szCs w:val="22"/>
        </w:rPr>
      </w:pPr>
    </w:p>
    <w:p w:rsidR="00972E00" w:rsidRPr="004F0425" w:rsidRDefault="00972E00" w:rsidP="00972E00">
      <w:pPr>
        <w:jc w:val="left"/>
        <w:rPr>
          <w:b/>
          <w:sz w:val="22"/>
          <w:szCs w:val="22"/>
        </w:rPr>
      </w:pPr>
      <w:r w:rsidRPr="004F0425">
        <w:rPr>
          <w:b/>
          <w:sz w:val="22"/>
          <w:szCs w:val="22"/>
        </w:rPr>
        <w:t>Table 3</w:t>
      </w:r>
      <w:r w:rsidRPr="004F0425">
        <w:rPr>
          <w:b/>
          <w:sz w:val="22"/>
          <w:szCs w:val="22"/>
        </w:rPr>
        <w:br/>
        <w:t xml:space="preserve">EMEA: Server Vendor Revenue Estimates, </w:t>
      </w:r>
      <w:r w:rsidR="00536941" w:rsidRPr="004F0425">
        <w:rPr>
          <w:b/>
          <w:sz w:val="22"/>
          <w:szCs w:val="22"/>
        </w:rPr>
        <w:t>1</w:t>
      </w:r>
      <w:r w:rsidRPr="004F0425">
        <w:rPr>
          <w:b/>
          <w:sz w:val="22"/>
          <w:szCs w:val="22"/>
        </w:rPr>
        <w:t>Q1</w:t>
      </w:r>
      <w:r w:rsidR="00536941" w:rsidRPr="004F0425">
        <w:rPr>
          <w:b/>
          <w:sz w:val="22"/>
          <w:szCs w:val="22"/>
        </w:rPr>
        <w:t>4</w:t>
      </w:r>
      <w:r w:rsidRPr="004F0425">
        <w:rPr>
          <w:b/>
          <w:sz w:val="22"/>
          <w:szCs w:val="22"/>
        </w:rPr>
        <w:t xml:space="preserve"> (US Dollars)</w:t>
      </w:r>
    </w:p>
    <w:tbl>
      <w:tblPr>
        <w:tblW w:w="9792" w:type="dxa"/>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972E00" w:rsidRPr="004F0425" w:rsidTr="00DE590E">
        <w:trPr>
          <w:trHeight w:val="225"/>
        </w:trPr>
        <w:tc>
          <w:tcPr>
            <w:tcW w:w="1872" w:type="dxa"/>
            <w:tcBorders>
              <w:top w:val="single" w:sz="4" w:space="0" w:color="auto"/>
            </w:tcBorders>
            <w:vAlign w:val="bottom"/>
          </w:tcPr>
          <w:p w:rsidR="00972E00" w:rsidRPr="004F0425" w:rsidRDefault="00972E00" w:rsidP="00DE590E">
            <w:pPr>
              <w:rPr>
                <w:rFonts w:eastAsia="Batang"/>
                <w:b/>
              </w:rPr>
            </w:pPr>
            <w:r w:rsidRPr="004F0425">
              <w:rPr>
                <w:rFonts w:eastAsia="Batang"/>
                <w:b/>
              </w:rPr>
              <w:t>Company</w:t>
            </w:r>
          </w:p>
        </w:tc>
        <w:tc>
          <w:tcPr>
            <w:tcW w:w="1728" w:type="dxa"/>
            <w:tcBorders>
              <w:top w:val="single" w:sz="4" w:space="0" w:color="auto"/>
            </w:tcBorders>
            <w:vAlign w:val="bottom"/>
          </w:tcPr>
          <w:p w:rsidR="00972E00" w:rsidRPr="004F0425" w:rsidRDefault="00536941" w:rsidP="00DE590E">
            <w:pPr>
              <w:jc w:val="right"/>
              <w:rPr>
                <w:rFonts w:eastAsia="Batang"/>
                <w:b/>
              </w:rPr>
            </w:pPr>
            <w:r w:rsidRPr="004F0425">
              <w:rPr>
                <w:rFonts w:eastAsia="Batang"/>
                <w:b/>
              </w:rPr>
              <w:t>1</w:t>
            </w:r>
            <w:r w:rsidR="00972E00" w:rsidRPr="004F0425">
              <w:rPr>
                <w:rFonts w:eastAsia="Batang"/>
                <w:b/>
              </w:rPr>
              <w:t>Q1</w:t>
            </w:r>
            <w:r w:rsidRPr="004F0425">
              <w:rPr>
                <w:rFonts w:eastAsia="Batang"/>
                <w:b/>
              </w:rPr>
              <w:t>4</w:t>
            </w:r>
          </w:p>
          <w:p w:rsidR="00972E00" w:rsidRPr="004F0425" w:rsidRDefault="00972E00" w:rsidP="00DE590E">
            <w:pPr>
              <w:jc w:val="right"/>
              <w:rPr>
                <w:rFonts w:eastAsia="Batang"/>
                <w:b/>
              </w:rPr>
            </w:pPr>
            <w:r w:rsidRPr="004F0425">
              <w:rPr>
                <w:rFonts w:eastAsia="Batang"/>
                <w:b/>
              </w:rPr>
              <w:t>Revenue</w:t>
            </w:r>
          </w:p>
        </w:tc>
        <w:tc>
          <w:tcPr>
            <w:tcW w:w="1440"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4</w:t>
            </w:r>
            <w:r w:rsidR="00972E00" w:rsidRPr="004F0425">
              <w:rPr>
                <w:rFonts w:eastAsia="Batang"/>
                <w:b/>
              </w:rPr>
              <w:t xml:space="preserve"> Market Share (%)</w:t>
            </w:r>
          </w:p>
        </w:tc>
        <w:tc>
          <w:tcPr>
            <w:tcW w:w="1728" w:type="dxa"/>
            <w:tcBorders>
              <w:top w:val="single" w:sz="4" w:space="0" w:color="auto"/>
            </w:tcBorders>
            <w:vAlign w:val="bottom"/>
          </w:tcPr>
          <w:p w:rsidR="00972E00" w:rsidRPr="004F0425" w:rsidRDefault="00536941" w:rsidP="00DE590E">
            <w:pPr>
              <w:jc w:val="right"/>
              <w:rPr>
                <w:rFonts w:eastAsia="Batang"/>
                <w:b/>
              </w:rPr>
            </w:pPr>
            <w:r w:rsidRPr="004F0425">
              <w:rPr>
                <w:rFonts w:eastAsia="Batang"/>
                <w:b/>
              </w:rPr>
              <w:t>1</w:t>
            </w:r>
            <w:r w:rsidR="00972E00" w:rsidRPr="004F0425">
              <w:rPr>
                <w:rFonts w:eastAsia="Batang"/>
                <w:b/>
              </w:rPr>
              <w:t>Q1</w:t>
            </w:r>
            <w:r w:rsidRPr="004F0425">
              <w:rPr>
                <w:rFonts w:eastAsia="Batang"/>
                <w:b/>
              </w:rPr>
              <w:t>3</w:t>
            </w:r>
          </w:p>
          <w:p w:rsidR="00972E00" w:rsidRPr="004F0425" w:rsidRDefault="00972E00" w:rsidP="00DE590E">
            <w:pPr>
              <w:jc w:val="right"/>
              <w:rPr>
                <w:rFonts w:eastAsia="Batang"/>
                <w:b/>
              </w:rPr>
            </w:pPr>
            <w:r w:rsidRPr="004F0425">
              <w:rPr>
                <w:rFonts w:eastAsia="Batang"/>
                <w:b/>
              </w:rPr>
              <w:t>Revenue</w:t>
            </w:r>
          </w:p>
        </w:tc>
        <w:tc>
          <w:tcPr>
            <w:tcW w:w="1440"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3</w:t>
            </w:r>
            <w:r w:rsidR="00972E00" w:rsidRPr="004F0425">
              <w:rPr>
                <w:rFonts w:eastAsia="Batang"/>
                <w:b/>
              </w:rPr>
              <w:t xml:space="preserve"> Market Share (%) </w:t>
            </w:r>
          </w:p>
        </w:tc>
        <w:tc>
          <w:tcPr>
            <w:tcW w:w="1584"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4</w:t>
            </w:r>
            <w:r w:rsidR="00972E00" w:rsidRPr="004F0425">
              <w:rPr>
                <w:rFonts w:eastAsia="Batang"/>
                <w:b/>
              </w:rPr>
              <w:t>-</w:t>
            </w:r>
            <w:r w:rsidRPr="004F0425">
              <w:rPr>
                <w:rFonts w:eastAsia="Batang"/>
                <w:b/>
              </w:rPr>
              <w:t>1</w:t>
            </w:r>
            <w:r w:rsidR="00972E00" w:rsidRPr="004F0425">
              <w:rPr>
                <w:rFonts w:eastAsia="Batang"/>
                <w:b/>
              </w:rPr>
              <w:t>Q1</w:t>
            </w:r>
            <w:r w:rsidRPr="004F0425">
              <w:rPr>
                <w:rFonts w:eastAsia="Batang"/>
                <w:b/>
              </w:rPr>
              <w:t>3</w:t>
            </w:r>
            <w:r w:rsidR="00972E00" w:rsidRPr="004F0425">
              <w:rPr>
                <w:rFonts w:eastAsia="Batang"/>
                <w:b/>
              </w:rPr>
              <w:t xml:space="preserve"> Growth (%)</w:t>
            </w:r>
          </w:p>
        </w:tc>
      </w:tr>
      <w:tr w:rsidR="00972E00" w:rsidRPr="004F0425" w:rsidTr="00DE590E">
        <w:trPr>
          <w:cantSplit/>
          <w:trHeight w:hRule="exact" w:val="227"/>
        </w:trPr>
        <w:tc>
          <w:tcPr>
            <w:tcW w:w="1872" w:type="dxa"/>
            <w:tcBorders>
              <w:top w:val="single" w:sz="4" w:space="0" w:color="auto"/>
            </w:tcBorders>
            <w:vAlign w:val="bottom"/>
          </w:tcPr>
          <w:p w:rsidR="00972E00" w:rsidRPr="004F0425" w:rsidRDefault="00972E00" w:rsidP="00DE590E">
            <w:pPr>
              <w:rPr>
                <w:rFonts w:cs="Arial"/>
                <w:color w:val="000000"/>
              </w:rPr>
            </w:pPr>
            <w:r w:rsidRPr="004F0425">
              <w:rPr>
                <w:rFonts w:cs="Arial"/>
                <w:color w:val="000000"/>
              </w:rPr>
              <w:t>HP</w:t>
            </w:r>
          </w:p>
        </w:tc>
        <w:tc>
          <w:tcPr>
            <w:tcW w:w="1728" w:type="dxa"/>
            <w:tcBorders>
              <w:top w:val="single" w:sz="4" w:space="0" w:color="auto"/>
            </w:tcBorders>
            <w:vAlign w:val="bottom"/>
          </w:tcPr>
          <w:p w:rsidR="00972E00" w:rsidRPr="004F0425" w:rsidRDefault="00972E00" w:rsidP="00536941">
            <w:pPr>
              <w:jc w:val="right"/>
              <w:rPr>
                <w:rFonts w:cs="Arial"/>
                <w:color w:val="000000"/>
              </w:rPr>
            </w:pPr>
            <w:r w:rsidRPr="004F0425">
              <w:rPr>
                <w:rFonts w:cs="Arial"/>
                <w:color w:val="000000"/>
              </w:rPr>
              <w:t>1,</w:t>
            </w:r>
            <w:r w:rsidR="00536941" w:rsidRPr="004F0425">
              <w:rPr>
                <w:rFonts w:cs="Arial"/>
                <w:color w:val="000000"/>
              </w:rPr>
              <w:t>087,308,680</w:t>
            </w:r>
          </w:p>
        </w:tc>
        <w:tc>
          <w:tcPr>
            <w:tcW w:w="1440" w:type="dxa"/>
            <w:tcBorders>
              <w:top w:val="single" w:sz="4" w:space="0" w:color="auto"/>
            </w:tcBorders>
            <w:vAlign w:val="bottom"/>
          </w:tcPr>
          <w:p w:rsidR="00972E00" w:rsidRPr="004F0425" w:rsidRDefault="00972E00" w:rsidP="00536941">
            <w:pPr>
              <w:jc w:val="right"/>
              <w:rPr>
                <w:rFonts w:cs="Arial"/>
                <w:color w:val="000000"/>
              </w:rPr>
            </w:pPr>
            <w:r w:rsidRPr="004F0425">
              <w:rPr>
                <w:rFonts w:cs="Arial"/>
                <w:color w:val="000000"/>
              </w:rPr>
              <w:t>3</w:t>
            </w:r>
            <w:r w:rsidR="00536941" w:rsidRPr="004F0425">
              <w:rPr>
                <w:rFonts w:cs="Arial"/>
                <w:color w:val="000000"/>
              </w:rPr>
              <w:t>5</w:t>
            </w:r>
            <w:r w:rsidRPr="004F0425">
              <w:rPr>
                <w:rFonts w:cs="Arial"/>
                <w:color w:val="000000"/>
              </w:rPr>
              <w:t>.</w:t>
            </w:r>
            <w:r w:rsidR="00536941" w:rsidRPr="004F0425">
              <w:rPr>
                <w:rFonts w:cs="Arial"/>
                <w:color w:val="000000"/>
              </w:rPr>
              <w:t>9</w:t>
            </w:r>
          </w:p>
        </w:tc>
        <w:tc>
          <w:tcPr>
            <w:tcW w:w="1728" w:type="dxa"/>
            <w:tcBorders>
              <w:top w:val="single" w:sz="4" w:space="0" w:color="auto"/>
            </w:tcBorders>
            <w:vAlign w:val="bottom"/>
          </w:tcPr>
          <w:p w:rsidR="00972E00" w:rsidRPr="004F0425" w:rsidRDefault="00972E00" w:rsidP="00536941">
            <w:pPr>
              <w:jc w:val="right"/>
              <w:rPr>
                <w:rFonts w:cs="Arial"/>
                <w:color w:val="000000"/>
              </w:rPr>
            </w:pPr>
            <w:r w:rsidRPr="004F0425">
              <w:rPr>
                <w:rFonts w:cs="Arial"/>
                <w:color w:val="000000"/>
              </w:rPr>
              <w:t>1,</w:t>
            </w:r>
            <w:r w:rsidR="00536941" w:rsidRPr="004F0425">
              <w:rPr>
                <w:rFonts w:cs="Arial"/>
                <w:color w:val="000000"/>
              </w:rPr>
              <w:t>034,411,365</w:t>
            </w:r>
          </w:p>
        </w:tc>
        <w:tc>
          <w:tcPr>
            <w:tcW w:w="1440" w:type="dxa"/>
            <w:tcBorders>
              <w:top w:val="single" w:sz="4" w:space="0" w:color="auto"/>
            </w:tcBorders>
            <w:vAlign w:val="bottom"/>
          </w:tcPr>
          <w:p w:rsidR="00972E00" w:rsidRPr="004F0425" w:rsidRDefault="00536941" w:rsidP="00DE590E">
            <w:pPr>
              <w:jc w:val="right"/>
              <w:rPr>
                <w:rFonts w:cs="Arial"/>
                <w:color w:val="000000"/>
              </w:rPr>
            </w:pPr>
            <w:r w:rsidRPr="004F0425">
              <w:rPr>
                <w:rFonts w:cs="Arial"/>
                <w:color w:val="000000"/>
              </w:rPr>
              <w:t>35.0</w:t>
            </w:r>
          </w:p>
        </w:tc>
        <w:tc>
          <w:tcPr>
            <w:tcW w:w="1584" w:type="dxa"/>
            <w:tcBorders>
              <w:top w:val="single" w:sz="4" w:space="0" w:color="auto"/>
            </w:tcBorders>
            <w:vAlign w:val="bottom"/>
          </w:tcPr>
          <w:p w:rsidR="00972E00" w:rsidRPr="004F0425" w:rsidRDefault="00536941" w:rsidP="00DE590E">
            <w:pPr>
              <w:jc w:val="right"/>
              <w:rPr>
                <w:rFonts w:cs="Arial"/>
                <w:color w:val="000000"/>
              </w:rPr>
            </w:pPr>
            <w:r w:rsidRPr="004F0425">
              <w:rPr>
                <w:rFonts w:cs="Arial"/>
                <w:color w:val="000000"/>
              </w:rPr>
              <w:t>5.1</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IBM</w:t>
            </w:r>
          </w:p>
        </w:tc>
        <w:tc>
          <w:tcPr>
            <w:tcW w:w="1728" w:type="dxa"/>
            <w:vAlign w:val="bottom"/>
          </w:tcPr>
          <w:p w:rsidR="00972E00" w:rsidRPr="004F0425" w:rsidRDefault="000652D8" w:rsidP="00DE590E">
            <w:pPr>
              <w:jc w:val="right"/>
              <w:rPr>
                <w:rFonts w:cs="Arial"/>
                <w:color w:val="000000"/>
              </w:rPr>
            </w:pPr>
            <w:r w:rsidRPr="004F0425">
              <w:rPr>
                <w:rFonts w:cs="Arial"/>
                <w:color w:val="000000"/>
              </w:rPr>
              <w:t>563,849,788</w:t>
            </w:r>
          </w:p>
        </w:tc>
        <w:tc>
          <w:tcPr>
            <w:tcW w:w="1440" w:type="dxa"/>
            <w:vAlign w:val="bottom"/>
          </w:tcPr>
          <w:p w:rsidR="00972E00" w:rsidRPr="004F0425" w:rsidRDefault="000652D8" w:rsidP="00DE590E">
            <w:pPr>
              <w:jc w:val="right"/>
              <w:rPr>
                <w:rFonts w:cs="Arial"/>
                <w:color w:val="000000"/>
              </w:rPr>
            </w:pPr>
            <w:r w:rsidRPr="004F0425">
              <w:rPr>
                <w:rFonts w:cs="Arial"/>
                <w:color w:val="000000"/>
              </w:rPr>
              <w:t>18.6</w:t>
            </w:r>
          </w:p>
        </w:tc>
        <w:tc>
          <w:tcPr>
            <w:tcW w:w="1728" w:type="dxa"/>
            <w:vAlign w:val="bottom"/>
          </w:tcPr>
          <w:p w:rsidR="00972E00" w:rsidRPr="004F0425" w:rsidRDefault="000652D8" w:rsidP="00DE590E">
            <w:pPr>
              <w:jc w:val="right"/>
              <w:rPr>
                <w:rFonts w:cs="Arial"/>
                <w:color w:val="000000"/>
              </w:rPr>
            </w:pPr>
            <w:r w:rsidRPr="004F0425">
              <w:rPr>
                <w:rFonts w:cs="Arial"/>
                <w:color w:val="000000"/>
              </w:rPr>
              <w:t>617,383,854</w:t>
            </w:r>
          </w:p>
        </w:tc>
        <w:tc>
          <w:tcPr>
            <w:tcW w:w="1440" w:type="dxa"/>
            <w:vAlign w:val="bottom"/>
          </w:tcPr>
          <w:p w:rsidR="00972E00" w:rsidRPr="004F0425" w:rsidRDefault="000652D8" w:rsidP="00DE590E">
            <w:pPr>
              <w:jc w:val="right"/>
              <w:rPr>
                <w:rFonts w:cs="Arial"/>
                <w:color w:val="000000"/>
              </w:rPr>
            </w:pPr>
            <w:r w:rsidRPr="004F0425">
              <w:rPr>
                <w:rFonts w:cs="Arial"/>
                <w:color w:val="000000"/>
              </w:rPr>
              <w:t>20</w:t>
            </w:r>
            <w:r w:rsidR="00972E00" w:rsidRPr="004F0425">
              <w:rPr>
                <w:rFonts w:cs="Arial"/>
                <w:color w:val="000000"/>
              </w:rPr>
              <w:t>.</w:t>
            </w:r>
            <w:r w:rsidRPr="004F0425">
              <w:rPr>
                <w:rFonts w:cs="Arial"/>
                <w:color w:val="000000"/>
              </w:rPr>
              <w:t>9</w:t>
            </w:r>
          </w:p>
        </w:tc>
        <w:tc>
          <w:tcPr>
            <w:tcW w:w="1584" w:type="dxa"/>
            <w:vAlign w:val="bottom"/>
          </w:tcPr>
          <w:p w:rsidR="00972E00" w:rsidRPr="004F0425" w:rsidRDefault="00972E00" w:rsidP="000652D8">
            <w:pPr>
              <w:jc w:val="right"/>
              <w:rPr>
                <w:rFonts w:cs="Arial"/>
                <w:color w:val="000000"/>
              </w:rPr>
            </w:pPr>
            <w:r w:rsidRPr="004F0425">
              <w:rPr>
                <w:rFonts w:cs="Arial"/>
                <w:color w:val="000000"/>
              </w:rPr>
              <w:t>-</w:t>
            </w:r>
            <w:r w:rsidR="000652D8" w:rsidRPr="004F0425">
              <w:rPr>
                <w:rFonts w:cs="Arial"/>
                <w:color w:val="000000"/>
              </w:rPr>
              <w:t>8.7</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Dell</w:t>
            </w:r>
          </w:p>
        </w:tc>
        <w:tc>
          <w:tcPr>
            <w:tcW w:w="1728" w:type="dxa"/>
            <w:vAlign w:val="bottom"/>
          </w:tcPr>
          <w:p w:rsidR="00972E00" w:rsidRPr="004F0425" w:rsidRDefault="000652D8" w:rsidP="000652D8">
            <w:pPr>
              <w:jc w:val="right"/>
              <w:rPr>
                <w:rFonts w:cs="Arial"/>
                <w:color w:val="000000"/>
              </w:rPr>
            </w:pPr>
            <w:r w:rsidRPr="004F0425">
              <w:rPr>
                <w:rFonts w:cs="Arial"/>
                <w:color w:val="000000"/>
              </w:rPr>
              <w:t>469,835,750</w:t>
            </w:r>
          </w:p>
        </w:tc>
        <w:tc>
          <w:tcPr>
            <w:tcW w:w="1440" w:type="dxa"/>
            <w:vAlign w:val="bottom"/>
          </w:tcPr>
          <w:p w:rsidR="00972E00" w:rsidRPr="004F0425" w:rsidRDefault="00972E00" w:rsidP="000652D8">
            <w:pPr>
              <w:jc w:val="right"/>
              <w:rPr>
                <w:rFonts w:cs="Arial"/>
                <w:color w:val="000000"/>
              </w:rPr>
            </w:pPr>
            <w:r w:rsidRPr="004F0425">
              <w:rPr>
                <w:rFonts w:cs="Arial"/>
                <w:color w:val="000000"/>
              </w:rPr>
              <w:t>1</w:t>
            </w:r>
            <w:r w:rsidR="000652D8" w:rsidRPr="004F0425">
              <w:rPr>
                <w:rFonts w:cs="Arial"/>
                <w:color w:val="000000"/>
              </w:rPr>
              <w:t>5</w:t>
            </w:r>
            <w:r w:rsidRPr="004F0425">
              <w:rPr>
                <w:rFonts w:cs="Arial"/>
                <w:color w:val="000000"/>
              </w:rPr>
              <w:t>.</w:t>
            </w:r>
            <w:r w:rsidR="000652D8" w:rsidRPr="004F0425">
              <w:rPr>
                <w:rFonts w:cs="Arial"/>
                <w:color w:val="000000"/>
              </w:rPr>
              <w:t>5</w:t>
            </w:r>
          </w:p>
        </w:tc>
        <w:tc>
          <w:tcPr>
            <w:tcW w:w="1728" w:type="dxa"/>
            <w:vAlign w:val="bottom"/>
          </w:tcPr>
          <w:p w:rsidR="00972E00" w:rsidRPr="004F0425" w:rsidRDefault="000652D8" w:rsidP="000652D8">
            <w:pPr>
              <w:jc w:val="right"/>
              <w:rPr>
                <w:rFonts w:cs="Arial"/>
                <w:color w:val="000000"/>
              </w:rPr>
            </w:pPr>
            <w:r w:rsidRPr="004F0425">
              <w:rPr>
                <w:rFonts w:cs="Arial"/>
                <w:color w:val="000000"/>
              </w:rPr>
              <w:t>517,483,000</w:t>
            </w:r>
          </w:p>
        </w:tc>
        <w:tc>
          <w:tcPr>
            <w:tcW w:w="1440" w:type="dxa"/>
            <w:vAlign w:val="bottom"/>
          </w:tcPr>
          <w:p w:rsidR="00972E00" w:rsidRPr="004F0425" w:rsidRDefault="00972E00" w:rsidP="000652D8">
            <w:pPr>
              <w:jc w:val="right"/>
              <w:rPr>
                <w:rFonts w:cs="Arial"/>
                <w:color w:val="000000"/>
              </w:rPr>
            </w:pPr>
            <w:r w:rsidRPr="004F0425">
              <w:rPr>
                <w:rFonts w:cs="Arial"/>
                <w:color w:val="000000"/>
              </w:rPr>
              <w:t>1</w:t>
            </w:r>
            <w:r w:rsidR="000652D8" w:rsidRPr="004F0425">
              <w:rPr>
                <w:rFonts w:cs="Arial"/>
                <w:color w:val="000000"/>
              </w:rPr>
              <w:t>7</w:t>
            </w:r>
            <w:r w:rsidRPr="004F0425">
              <w:rPr>
                <w:rFonts w:cs="Arial"/>
                <w:color w:val="000000"/>
              </w:rPr>
              <w:t>.</w:t>
            </w:r>
            <w:r w:rsidR="000652D8" w:rsidRPr="004F0425">
              <w:rPr>
                <w:rFonts w:cs="Arial"/>
                <w:color w:val="000000"/>
              </w:rPr>
              <w:t>5</w:t>
            </w:r>
          </w:p>
        </w:tc>
        <w:tc>
          <w:tcPr>
            <w:tcW w:w="1584" w:type="dxa"/>
            <w:vAlign w:val="bottom"/>
          </w:tcPr>
          <w:p w:rsidR="00972E00" w:rsidRPr="004F0425" w:rsidRDefault="000652D8" w:rsidP="00DE590E">
            <w:pPr>
              <w:jc w:val="right"/>
              <w:rPr>
                <w:rFonts w:cs="Arial"/>
                <w:color w:val="000000"/>
              </w:rPr>
            </w:pPr>
            <w:r w:rsidRPr="004F0425">
              <w:rPr>
                <w:rFonts w:cs="Arial"/>
                <w:color w:val="000000"/>
              </w:rPr>
              <w:t>-9.2</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Fujitsu</w:t>
            </w:r>
          </w:p>
        </w:tc>
        <w:tc>
          <w:tcPr>
            <w:tcW w:w="1728" w:type="dxa"/>
            <w:vAlign w:val="bottom"/>
          </w:tcPr>
          <w:p w:rsidR="00972E00" w:rsidRPr="004F0425" w:rsidRDefault="000652D8" w:rsidP="00DE590E">
            <w:pPr>
              <w:jc w:val="right"/>
              <w:rPr>
                <w:rFonts w:cs="Arial"/>
                <w:color w:val="000000"/>
              </w:rPr>
            </w:pPr>
            <w:r w:rsidRPr="004F0425">
              <w:rPr>
                <w:rFonts w:cs="Arial"/>
                <w:color w:val="000000"/>
              </w:rPr>
              <w:t>269,870,145</w:t>
            </w:r>
          </w:p>
        </w:tc>
        <w:tc>
          <w:tcPr>
            <w:tcW w:w="1440" w:type="dxa"/>
            <w:vAlign w:val="bottom"/>
          </w:tcPr>
          <w:p w:rsidR="00972E00" w:rsidRPr="004F0425" w:rsidRDefault="000652D8" w:rsidP="000652D8">
            <w:pPr>
              <w:jc w:val="right"/>
              <w:rPr>
                <w:rFonts w:cs="Arial"/>
                <w:color w:val="000000"/>
              </w:rPr>
            </w:pPr>
            <w:r w:rsidRPr="004F0425">
              <w:rPr>
                <w:rFonts w:cs="Arial"/>
                <w:color w:val="000000"/>
              </w:rPr>
              <w:t>8</w:t>
            </w:r>
            <w:r w:rsidR="00972E00" w:rsidRPr="004F0425">
              <w:rPr>
                <w:rFonts w:cs="Arial"/>
                <w:color w:val="000000"/>
              </w:rPr>
              <w:t>.</w:t>
            </w:r>
            <w:r w:rsidRPr="004F0425">
              <w:rPr>
                <w:rFonts w:cs="Arial"/>
                <w:color w:val="000000"/>
              </w:rPr>
              <w:t>9</w:t>
            </w:r>
          </w:p>
        </w:tc>
        <w:tc>
          <w:tcPr>
            <w:tcW w:w="1728" w:type="dxa"/>
            <w:vAlign w:val="bottom"/>
          </w:tcPr>
          <w:p w:rsidR="00972E00" w:rsidRPr="004F0425" w:rsidRDefault="000652D8" w:rsidP="00DE590E">
            <w:pPr>
              <w:jc w:val="right"/>
              <w:rPr>
                <w:rFonts w:cs="Arial"/>
                <w:color w:val="000000"/>
              </w:rPr>
            </w:pPr>
            <w:r w:rsidRPr="004F0425">
              <w:rPr>
                <w:rFonts w:cs="Arial"/>
                <w:color w:val="000000"/>
              </w:rPr>
              <w:t>228,659,643</w:t>
            </w:r>
          </w:p>
        </w:tc>
        <w:tc>
          <w:tcPr>
            <w:tcW w:w="1440" w:type="dxa"/>
            <w:vAlign w:val="bottom"/>
          </w:tcPr>
          <w:p w:rsidR="00972E00" w:rsidRPr="004F0425" w:rsidRDefault="000652D8" w:rsidP="000652D8">
            <w:pPr>
              <w:jc w:val="right"/>
              <w:rPr>
                <w:rFonts w:cs="Arial"/>
                <w:color w:val="000000"/>
              </w:rPr>
            </w:pPr>
            <w:r w:rsidRPr="004F0425">
              <w:rPr>
                <w:rFonts w:cs="Arial"/>
                <w:color w:val="000000"/>
              </w:rPr>
              <w:t>7</w:t>
            </w:r>
            <w:r w:rsidR="00972E00" w:rsidRPr="004F0425">
              <w:rPr>
                <w:rFonts w:cs="Arial"/>
                <w:color w:val="000000"/>
              </w:rPr>
              <w:t>.</w:t>
            </w:r>
            <w:r w:rsidRPr="004F0425">
              <w:rPr>
                <w:rFonts w:cs="Arial"/>
                <w:color w:val="000000"/>
              </w:rPr>
              <w:t>7</w:t>
            </w:r>
          </w:p>
        </w:tc>
        <w:tc>
          <w:tcPr>
            <w:tcW w:w="1584" w:type="dxa"/>
            <w:vAlign w:val="bottom"/>
          </w:tcPr>
          <w:p w:rsidR="00972E00" w:rsidRPr="004F0425" w:rsidRDefault="000652D8" w:rsidP="000652D8">
            <w:pPr>
              <w:jc w:val="right"/>
              <w:rPr>
                <w:rFonts w:cs="Arial"/>
                <w:color w:val="000000"/>
              </w:rPr>
            </w:pPr>
            <w:r w:rsidRPr="004F0425">
              <w:rPr>
                <w:rFonts w:cs="Arial"/>
                <w:color w:val="000000"/>
              </w:rPr>
              <w:t>18</w:t>
            </w:r>
            <w:r w:rsidR="00972E00" w:rsidRPr="004F0425">
              <w:rPr>
                <w:rFonts w:cs="Arial"/>
                <w:color w:val="000000"/>
              </w:rPr>
              <w:t>.</w:t>
            </w:r>
            <w:r w:rsidRPr="004F0425">
              <w:rPr>
                <w:rFonts w:cs="Arial"/>
                <w:color w:val="000000"/>
              </w:rPr>
              <w:t>0</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Oracle</w:t>
            </w:r>
          </w:p>
        </w:tc>
        <w:tc>
          <w:tcPr>
            <w:tcW w:w="1728" w:type="dxa"/>
            <w:vAlign w:val="bottom"/>
          </w:tcPr>
          <w:p w:rsidR="00972E00" w:rsidRPr="004F0425" w:rsidRDefault="00972E00" w:rsidP="000652D8">
            <w:pPr>
              <w:jc w:val="right"/>
              <w:rPr>
                <w:rFonts w:cs="Arial"/>
                <w:color w:val="000000"/>
              </w:rPr>
            </w:pPr>
            <w:r w:rsidRPr="004F0425">
              <w:rPr>
                <w:rFonts w:cs="Arial"/>
                <w:color w:val="000000"/>
              </w:rPr>
              <w:t>1</w:t>
            </w:r>
            <w:r w:rsidR="000652D8" w:rsidRPr="004F0425">
              <w:rPr>
                <w:rFonts w:cs="Arial"/>
                <w:color w:val="000000"/>
              </w:rPr>
              <w:t>61</w:t>
            </w:r>
            <w:r w:rsidRPr="004F0425">
              <w:rPr>
                <w:rFonts w:cs="Arial"/>
                <w:color w:val="000000"/>
              </w:rPr>
              <w:t>,</w:t>
            </w:r>
            <w:r w:rsidR="000652D8" w:rsidRPr="004F0425">
              <w:rPr>
                <w:rFonts w:cs="Arial"/>
                <w:color w:val="000000"/>
              </w:rPr>
              <w:t>662</w:t>
            </w:r>
            <w:r w:rsidRPr="004F0425">
              <w:rPr>
                <w:rFonts w:cs="Arial"/>
                <w:color w:val="000000"/>
              </w:rPr>
              <w:t>,</w:t>
            </w:r>
            <w:r w:rsidR="000652D8" w:rsidRPr="004F0425">
              <w:rPr>
                <w:rFonts w:cs="Arial"/>
                <w:color w:val="000000"/>
              </w:rPr>
              <w:t>628</w:t>
            </w:r>
          </w:p>
        </w:tc>
        <w:tc>
          <w:tcPr>
            <w:tcW w:w="1440" w:type="dxa"/>
            <w:vAlign w:val="bottom"/>
          </w:tcPr>
          <w:p w:rsidR="00972E00" w:rsidRPr="004F0425" w:rsidRDefault="000652D8" w:rsidP="00DE590E">
            <w:pPr>
              <w:jc w:val="right"/>
              <w:rPr>
                <w:rFonts w:cs="Arial"/>
                <w:color w:val="000000"/>
              </w:rPr>
            </w:pPr>
            <w:r w:rsidRPr="004F0425">
              <w:rPr>
                <w:rFonts w:cs="Arial"/>
                <w:color w:val="000000"/>
              </w:rPr>
              <w:t>5.3</w:t>
            </w:r>
          </w:p>
        </w:tc>
        <w:tc>
          <w:tcPr>
            <w:tcW w:w="1728" w:type="dxa"/>
            <w:vAlign w:val="bottom"/>
          </w:tcPr>
          <w:p w:rsidR="00972E00" w:rsidRPr="004F0425" w:rsidRDefault="00972E00" w:rsidP="000652D8">
            <w:pPr>
              <w:jc w:val="right"/>
              <w:rPr>
                <w:rFonts w:cs="Arial"/>
                <w:color w:val="000000"/>
              </w:rPr>
            </w:pPr>
            <w:r w:rsidRPr="004F0425">
              <w:rPr>
                <w:rFonts w:cs="Arial"/>
                <w:color w:val="000000"/>
              </w:rPr>
              <w:t>16</w:t>
            </w:r>
            <w:r w:rsidR="000652D8" w:rsidRPr="004F0425">
              <w:rPr>
                <w:rFonts w:cs="Arial"/>
                <w:color w:val="000000"/>
              </w:rPr>
              <w:t>1,562,750</w:t>
            </w:r>
          </w:p>
        </w:tc>
        <w:tc>
          <w:tcPr>
            <w:tcW w:w="1440" w:type="dxa"/>
            <w:vAlign w:val="bottom"/>
          </w:tcPr>
          <w:p w:rsidR="00972E00" w:rsidRPr="004F0425" w:rsidRDefault="000652D8" w:rsidP="00DE590E">
            <w:pPr>
              <w:jc w:val="right"/>
              <w:rPr>
                <w:rFonts w:cs="Arial"/>
                <w:color w:val="000000"/>
              </w:rPr>
            </w:pPr>
            <w:r w:rsidRPr="004F0425">
              <w:rPr>
                <w:rFonts w:cs="Arial"/>
                <w:color w:val="000000"/>
              </w:rPr>
              <w:t>5.5</w:t>
            </w:r>
          </w:p>
        </w:tc>
        <w:tc>
          <w:tcPr>
            <w:tcW w:w="1584" w:type="dxa"/>
            <w:vAlign w:val="bottom"/>
          </w:tcPr>
          <w:p w:rsidR="00972E00" w:rsidRPr="004F0425" w:rsidRDefault="000652D8" w:rsidP="00DE590E">
            <w:pPr>
              <w:jc w:val="right"/>
              <w:rPr>
                <w:rFonts w:cs="Arial"/>
                <w:color w:val="000000"/>
              </w:rPr>
            </w:pPr>
            <w:r w:rsidRPr="004F0425">
              <w:rPr>
                <w:rFonts w:cs="Arial"/>
                <w:color w:val="000000"/>
              </w:rPr>
              <w:t>0.1</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Others</w:t>
            </w:r>
          </w:p>
        </w:tc>
        <w:tc>
          <w:tcPr>
            <w:tcW w:w="1728" w:type="dxa"/>
            <w:vAlign w:val="bottom"/>
          </w:tcPr>
          <w:p w:rsidR="00972E00" w:rsidRPr="004F0425" w:rsidRDefault="000652D8" w:rsidP="00DE590E">
            <w:pPr>
              <w:jc w:val="right"/>
              <w:rPr>
                <w:rFonts w:cs="Arial"/>
                <w:color w:val="000000"/>
              </w:rPr>
            </w:pPr>
            <w:r w:rsidRPr="004F0425">
              <w:rPr>
                <w:rFonts w:cs="Arial"/>
                <w:color w:val="000000"/>
              </w:rPr>
              <w:t>479,079,418</w:t>
            </w:r>
          </w:p>
        </w:tc>
        <w:tc>
          <w:tcPr>
            <w:tcW w:w="1440" w:type="dxa"/>
            <w:vAlign w:val="bottom"/>
          </w:tcPr>
          <w:p w:rsidR="00972E00" w:rsidRPr="004F0425" w:rsidRDefault="000652D8" w:rsidP="00DE590E">
            <w:pPr>
              <w:jc w:val="right"/>
              <w:rPr>
                <w:rFonts w:cs="Arial"/>
                <w:color w:val="000000"/>
              </w:rPr>
            </w:pPr>
            <w:r w:rsidRPr="004F0425">
              <w:rPr>
                <w:rFonts w:cs="Arial"/>
                <w:color w:val="000000"/>
              </w:rPr>
              <w:t>15.8</w:t>
            </w:r>
          </w:p>
        </w:tc>
        <w:tc>
          <w:tcPr>
            <w:tcW w:w="1728" w:type="dxa"/>
            <w:vAlign w:val="bottom"/>
          </w:tcPr>
          <w:p w:rsidR="00972E00" w:rsidRPr="004F0425" w:rsidRDefault="000652D8" w:rsidP="00DE590E">
            <w:pPr>
              <w:jc w:val="right"/>
              <w:rPr>
                <w:rFonts w:cs="Arial"/>
                <w:color w:val="000000"/>
              </w:rPr>
            </w:pPr>
            <w:r w:rsidRPr="004F0425">
              <w:rPr>
                <w:rFonts w:cs="Arial"/>
                <w:color w:val="000000"/>
              </w:rPr>
              <w:t>397,854,330</w:t>
            </w:r>
          </w:p>
        </w:tc>
        <w:tc>
          <w:tcPr>
            <w:tcW w:w="1440" w:type="dxa"/>
            <w:vAlign w:val="bottom"/>
          </w:tcPr>
          <w:p w:rsidR="00972E00" w:rsidRPr="004F0425" w:rsidRDefault="000652D8" w:rsidP="00DE590E">
            <w:pPr>
              <w:jc w:val="right"/>
              <w:rPr>
                <w:rFonts w:cs="Arial"/>
                <w:color w:val="000000"/>
              </w:rPr>
            </w:pPr>
            <w:r w:rsidRPr="004F0425">
              <w:rPr>
                <w:rFonts w:cs="Arial"/>
                <w:color w:val="000000"/>
              </w:rPr>
              <w:t>13.5</w:t>
            </w:r>
          </w:p>
        </w:tc>
        <w:tc>
          <w:tcPr>
            <w:tcW w:w="1584" w:type="dxa"/>
            <w:vAlign w:val="bottom"/>
          </w:tcPr>
          <w:p w:rsidR="00972E00" w:rsidRPr="004F0425" w:rsidRDefault="000652D8" w:rsidP="000652D8">
            <w:pPr>
              <w:jc w:val="right"/>
              <w:rPr>
                <w:rFonts w:cs="Arial"/>
                <w:color w:val="000000"/>
              </w:rPr>
            </w:pPr>
            <w:r w:rsidRPr="004F0425">
              <w:rPr>
                <w:rFonts w:cs="Arial"/>
                <w:color w:val="000000"/>
              </w:rPr>
              <w:t>20</w:t>
            </w:r>
            <w:r w:rsidR="00972E00" w:rsidRPr="004F0425">
              <w:rPr>
                <w:rFonts w:cs="Arial"/>
                <w:color w:val="000000"/>
              </w:rPr>
              <w:t>.</w:t>
            </w:r>
            <w:r w:rsidRPr="004F0425">
              <w:rPr>
                <w:rFonts w:cs="Arial"/>
                <w:color w:val="000000"/>
              </w:rPr>
              <w:t>4</w:t>
            </w:r>
          </w:p>
        </w:tc>
      </w:tr>
      <w:tr w:rsidR="00972E00" w:rsidRPr="004F0425" w:rsidTr="00DE590E">
        <w:trPr>
          <w:cantSplit/>
          <w:trHeight w:hRule="exact" w:val="227"/>
        </w:trPr>
        <w:tc>
          <w:tcPr>
            <w:tcW w:w="1872" w:type="dxa"/>
            <w:vAlign w:val="bottom"/>
          </w:tcPr>
          <w:p w:rsidR="00972E00" w:rsidRPr="004F0425" w:rsidRDefault="00972E00" w:rsidP="00DE590E">
            <w:pPr>
              <w:rPr>
                <w:rFonts w:cs="Arial"/>
                <w:b/>
                <w:color w:val="000000"/>
              </w:rPr>
            </w:pPr>
            <w:r w:rsidRPr="004F0425">
              <w:rPr>
                <w:rFonts w:cs="Arial"/>
                <w:b/>
                <w:color w:val="000000"/>
              </w:rPr>
              <w:t>Total</w:t>
            </w:r>
          </w:p>
        </w:tc>
        <w:tc>
          <w:tcPr>
            <w:tcW w:w="1728" w:type="dxa"/>
            <w:vAlign w:val="bottom"/>
          </w:tcPr>
          <w:p w:rsidR="00972E00" w:rsidRPr="004F0425" w:rsidRDefault="00972E00" w:rsidP="000652D8">
            <w:pPr>
              <w:jc w:val="right"/>
              <w:rPr>
                <w:rFonts w:cs="Arial"/>
                <w:b/>
                <w:color w:val="000000"/>
              </w:rPr>
            </w:pPr>
            <w:r w:rsidRPr="004F0425">
              <w:rPr>
                <w:rFonts w:cs="Arial"/>
                <w:b/>
                <w:color w:val="000000"/>
              </w:rPr>
              <w:t>3,</w:t>
            </w:r>
            <w:r w:rsidR="000652D8" w:rsidRPr="004F0425">
              <w:rPr>
                <w:rFonts w:cs="Arial"/>
                <w:b/>
                <w:color w:val="000000"/>
              </w:rPr>
              <w:t>031,606,409</w:t>
            </w:r>
          </w:p>
        </w:tc>
        <w:tc>
          <w:tcPr>
            <w:tcW w:w="1440" w:type="dxa"/>
            <w:vAlign w:val="bottom"/>
          </w:tcPr>
          <w:p w:rsidR="00972E00" w:rsidRPr="004F0425" w:rsidRDefault="00972E00" w:rsidP="00DE590E">
            <w:pPr>
              <w:jc w:val="right"/>
              <w:rPr>
                <w:rFonts w:cs="Arial"/>
                <w:b/>
                <w:color w:val="000000"/>
              </w:rPr>
            </w:pPr>
            <w:r w:rsidRPr="004F0425">
              <w:rPr>
                <w:rFonts w:cs="Arial"/>
                <w:b/>
                <w:color w:val="000000"/>
              </w:rPr>
              <w:t>100.0</w:t>
            </w:r>
          </w:p>
        </w:tc>
        <w:tc>
          <w:tcPr>
            <w:tcW w:w="1728" w:type="dxa"/>
            <w:vAlign w:val="bottom"/>
          </w:tcPr>
          <w:p w:rsidR="00972E00" w:rsidRPr="004F0425" w:rsidRDefault="000652D8" w:rsidP="00DE590E">
            <w:pPr>
              <w:jc w:val="right"/>
              <w:rPr>
                <w:rFonts w:cs="Arial"/>
                <w:b/>
                <w:color w:val="000000"/>
              </w:rPr>
            </w:pPr>
            <w:r w:rsidRPr="004F0425">
              <w:rPr>
                <w:rFonts w:cs="Arial"/>
                <w:b/>
                <w:color w:val="000000"/>
              </w:rPr>
              <w:t>2,957,354,943</w:t>
            </w:r>
          </w:p>
        </w:tc>
        <w:tc>
          <w:tcPr>
            <w:tcW w:w="1440" w:type="dxa"/>
            <w:vAlign w:val="bottom"/>
          </w:tcPr>
          <w:p w:rsidR="00972E00" w:rsidRPr="004F0425" w:rsidRDefault="00972E00" w:rsidP="00DE590E">
            <w:pPr>
              <w:jc w:val="right"/>
              <w:rPr>
                <w:rFonts w:cs="Arial"/>
                <w:b/>
                <w:color w:val="000000"/>
              </w:rPr>
            </w:pPr>
            <w:r w:rsidRPr="004F0425">
              <w:rPr>
                <w:rFonts w:cs="Arial"/>
                <w:b/>
                <w:color w:val="000000"/>
              </w:rPr>
              <w:t>100.0</w:t>
            </w:r>
          </w:p>
        </w:tc>
        <w:tc>
          <w:tcPr>
            <w:tcW w:w="1584" w:type="dxa"/>
            <w:vAlign w:val="bottom"/>
          </w:tcPr>
          <w:p w:rsidR="00972E00" w:rsidRPr="004F0425" w:rsidRDefault="000652D8" w:rsidP="00DE590E">
            <w:pPr>
              <w:jc w:val="right"/>
              <w:rPr>
                <w:rFonts w:cs="Arial"/>
                <w:b/>
                <w:color w:val="000000"/>
              </w:rPr>
            </w:pPr>
            <w:r w:rsidRPr="004F0425">
              <w:rPr>
                <w:rFonts w:cs="Arial"/>
                <w:b/>
                <w:color w:val="000000"/>
              </w:rPr>
              <w:t>2.5</w:t>
            </w:r>
          </w:p>
        </w:tc>
      </w:tr>
    </w:tbl>
    <w:p w:rsidR="00972E00" w:rsidRPr="004F0425" w:rsidRDefault="00972E00" w:rsidP="00972E00">
      <w:pPr>
        <w:rPr>
          <w:rFonts w:cs="Arial"/>
          <w:color w:val="000000"/>
          <w:sz w:val="16"/>
          <w:szCs w:val="16"/>
          <w:lang w:eastAsia="en-GB"/>
        </w:rPr>
      </w:pPr>
      <w:r w:rsidRPr="004F0425">
        <w:rPr>
          <w:rFonts w:cs="Arial"/>
          <w:color w:val="000000"/>
          <w:sz w:val="16"/>
          <w:szCs w:val="16"/>
          <w:lang w:eastAsia="en-GB"/>
        </w:rPr>
        <w:t>Source: Gartner (</w:t>
      </w:r>
      <w:r w:rsidR="00536941" w:rsidRPr="004F0425">
        <w:rPr>
          <w:rFonts w:cs="Arial"/>
          <w:color w:val="000000"/>
          <w:sz w:val="16"/>
          <w:szCs w:val="16"/>
          <w:lang w:eastAsia="en-GB"/>
        </w:rPr>
        <w:t>May</w:t>
      </w:r>
      <w:r w:rsidRPr="004F0425">
        <w:rPr>
          <w:rFonts w:cs="Arial"/>
          <w:color w:val="000000"/>
          <w:sz w:val="16"/>
          <w:szCs w:val="16"/>
          <w:lang w:eastAsia="en-GB"/>
        </w:rPr>
        <w:t xml:space="preserve"> 2014)</w:t>
      </w:r>
    </w:p>
    <w:p w:rsidR="00972E00" w:rsidRPr="004F0425" w:rsidRDefault="00972E00" w:rsidP="00972E00">
      <w:pPr>
        <w:rPr>
          <w:rFonts w:cs="Arial"/>
          <w:color w:val="000000"/>
          <w:sz w:val="18"/>
          <w:szCs w:val="18"/>
          <w:lang w:eastAsia="en-GB"/>
        </w:rPr>
      </w:pPr>
    </w:p>
    <w:p w:rsidR="00972E00" w:rsidRPr="004F0425" w:rsidRDefault="00972E00" w:rsidP="00972E00">
      <w:pPr>
        <w:jc w:val="left"/>
        <w:rPr>
          <w:b/>
          <w:sz w:val="22"/>
          <w:szCs w:val="22"/>
        </w:rPr>
      </w:pPr>
      <w:r w:rsidRPr="004F0425">
        <w:rPr>
          <w:b/>
          <w:sz w:val="22"/>
          <w:szCs w:val="22"/>
        </w:rPr>
        <w:t>Table 4</w:t>
      </w:r>
    </w:p>
    <w:p w:rsidR="00972E00" w:rsidRPr="004F0425" w:rsidRDefault="00972E00" w:rsidP="00972E00">
      <w:pPr>
        <w:jc w:val="left"/>
        <w:rPr>
          <w:rFonts w:cs="Arial"/>
          <w:color w:val="000000"/>
          <w:sz w:val="18"/>
          <w:szCs w:val="18"/>
          <w:lang w:eastAsia="en-GB"/>
        </w:rPr>
      </w:pPr>
      <w:r w:rsidRPr="004F0425">
        <w:rPr>
          <w:b/>
          <w:sz w:val="22"/>
          <w:szCs w:val="22"/>
        </w:rPr>
        <w:t xml:space="preserve">EMEA: Server Vendor Shipments Estimates, </w:t>
      </w:r>
      <w:r w:rsidR="00536941" w:rsidRPr="004F0425">
        <w:rPr>
          <w:b/>
          <w:sz w:val="22"/>
          <w:szCs w:val="22"/>
        </w:rPr>
        <w:t>1</w:t>
      </w:r>
      <w:r w:rsidRPr="004F0425">
        <w:rPr>
          <w:b/>
          <w:sz w:val="22"/>
          <w:szCs w:val="22"/>
        </w:rPr>
        <w:t>Q1</w:t>
      </w:r>
      <w:r w:rsidR="00536941" w:rsidRPr="004F0425">
        <w:rPr>
          <w:b/>
          <w:sz w:val="22"/>
          <w:szCs w:val="22"/>
        </w:rPr>
        <w:t>4</w:t>
      </w:r>
      <w:r w:rsidRPr="004F0425">
        <w:rPr>
          <w:b/>
          <w:sz w:val="22"/>
          <w:szCs w:val="22"/>
        </w:rPr>
        <w:t xml:space="preserve"> (Units)</w:t>
      </w:r>
    </w:p>
    <w:tbl>
      <w:tblPr>
        <w:tblW w:w="9792" w:type="dxa"/>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972E00" w:rsidRPr="004F0425" w:rsidTr="00DE590E">
        <w:trPr>
          <w:trHeight w:val="225"/>
        </w:trPr>
        <w:tc>
          <w:tcPr>
            <w:tcW w:w="1872" w:type="dxa"/>
            <w:tcBorders>
              <w:top w:val="single" w:sz="4" w:space="0" w:color="auto"/>
            </w:tcBorders>
            <w:vAlign w:val="bottom"/>
          </w:tcPr>
          <w:p w:rsidR="00972E00" w:rsidRPr="004F0425" w:rsidRDefault="00972E00" w:rsidP="00DE590E">
            <w:pPr>
              <w:rPr>
                <w:rFonts w:eastAsia="Batang"/>
                <w:b/>
              </w:rPr>
            </w:pPr>
            <w:r w:rsidRPr="004F0425">
              <w:rPr>
                <w:rFonts w:eastAsia="Batang"/>
                <w:b/>
              </w:rPr>
              <w:t>Company</w:t>
            </w:r>
          </w:p>
        </w:tc>
        <w:tc>
          <w:tcPr>
            <w:tcW w:w="1728" w:type="dxa"/>
            <w:tcBorders>
              <w:top w:val="single" w:sz="4" w:space="0" w:color="auto"/>
            </w:tcBorders>
            <w:vAlign w:val="bottom"/>
          </w:tcPr>
          <w:p w:rsidR="00972E00" w:rsidRPr="004F0425" w:rsidRDefault="00536941" w:rsidP="00DE590E">
            <w:pPr>
              <w:jc w:val="right"/>
              <w:rPr>
                <w:rFonts w:eastAsia="Batang"/>
                <w:b/>
              </w:rPr>
            </w:pPr>
            <w:r w:rsidRPr="004F0425">
              <w:rPr>
                <w:rFonts w:eastAsia="Batang"/>
                <w:b/>
              </w:rPr>
              <w:t>1</w:t>
            </w:r>
            <w:r w:rsidR="00972E00" w:rsidRPr="004F0425">
              <w:rPr>
                <w:rFonts w:eastAsia="Batang"/>
                <w:b/>
              </w:rPr>
              <w:t>Q1</w:t>
            </w:r>
            <w:r w:rsidRPr="004F0425">
              <w:rPr>
                <w:rFonts w:eastAsia="Batang"/>
                <w:b/>
              </w:rPr>
              <w:t>4</w:t>
            </w:r>
          </w:p>
          <w:p w:rsidR="00972E00" w:rsidRPr="004F0425" w:rsidRDefault="00972E00" w:rsidP="00DE590E">
            <w:pPr>
              <w:jc w:val="right"/>
              <w:rPr>
                <w:rFonts w:eastAsia="Batang"/>
                <w:b/>
              </w:rPr>
            </w:pPr>
            <w:r w:rsidRPr="004F0425">
              <w:rPr>
                <w:rFonts w:eastAsia="Batang"/>
                <w:b/>
              </w:rPr>
              <w:t>Shipments</w:t>
            </w:r>
          </w:p>
        </w:tc>
        <w:tc>
          <w:tcPr>
            <w:tcW w:w="1440"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4</w:t>
            </w:r>
            <w:r w:rsidR="00972E00" w:rsidRPr="004F0425">
              <w:rPr>
                <w:rFonts w:eastAsia="Batang"/>
                <w:b/>
              </w:rPr>
              <w:t xml:space="preserve"> Market Share (%)</w:t>
            </w:r>
          </w:p>
        </w:tc>
        <w:tc>
          <w:tcPr>
            <w:tcW w:w="1728" w:type="dxa"/>
            <w:tcBorders>
              <w:top w:val="single" w:sz="4" w:space="0" w:color="auto"/>
            </w:tcBorders>
            <w:vAlign w:val="bottom"/>
          </w:tcPr>
          <w:p w:rsidR="00972E00" w:rsidRPr="004F0425" w:rsidRDefault="00536941" w:rsidP="00DE590E">
            <w:pPr>
              <w:jc w:val="right"/>
              <w:rPr>
                <w:rFonts w:eastAsia="Batang"/>
                <w:b/>
              </w:rPr>
            </w:pPr>
            <w:r w:rsidRPr="004F0425">
              <w:rPr>
                <w:rFonts w:eastAsia="Batang"/>
                <w:b/>
              </w:rPr>
              <w:t>1</w:t>
            </w:r>
            <w:r w:rsidR="00972E00" w:rsidRPr="004F0425">
              <w:rPr>
                <w:rFonts w:eastAsia="Batang"/>
                <w:b/>
              </w:rPr>
              <w:t>Q1</w:t>
            </w:r>
            <w:r w:rsidRPr="004F0425">
              <w:rPr>
                <w:rFonts w:eastAsia="Batang"/>
                <w:b/>
              </w:rPr>
              <w:t>3</w:t>
            </w:r>
          </w:p>
          <w:p w:rsidR="00972E00" w:rsidRPr="004F0425" w:rsidRDefault="00972E00" w:rsidP="00DE590E">
            <w:pPr>
              <w:jc w:val="right"/>
              <w:rPr>
                <w:rFonts w:eastAsia="Batang"/>
                <w:b/>
              </w:rPr>
            </w:pPr>
            <w:r w:rsidRPr="004F0425">
              <w:rPr>
                <w:rFonts w:eastAsia="Batang"/>
                <w:b/>
              </w:rPr>
              <w:t>Shipments</w:t>
            </w:r>
          </w:p>
        </w:tc>
        <w:tc>
          <w:tcPr>
            <w:tcW w:w="1440"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3</w:t>
            </w:r>
            <w:r w:rsidR="00972E00" w:rsidRPr="004F0425">
              <w:rPr>
                <w:rFonts w:eastAsia="Batang"/>
                <w:b/>
              </w:rPr>
              <w:t xml:space="preserve"> Market Share (%)</w:t>
            </w:r>
          </w:p>
        </w:tc>
        <w:tc>
          <w:tcPr>
            <w:tcW w:w="1584" w:type="dxa"/>
            <w:tcBorders>
              <w:top w:val="single" w:sz="4" w:space="0" w:color="auto"/>
            </w:tcBorders>
            <w:vAlign w:val="center"/>
          </w:tcPr>
          <w:p w:rsidR="00972E00" w:rsidRPr="004F0425" w:rsidRDefault="00536941" w:rsidP="00536941">
            <w:pPr>
              <w:jc w:val="right"/>
              <w:rPr>
                <w:rFonts w:eastAsia="Batang"/>
                <w:b/>
              </w:rPr>
            </w:pPr>
            <w:r w:rsidRPr="004F0425">
              <w:rPr>
                <w:rFonts w:eastAsia="Batang"/>
                <w:b/>
              </w:rPr>
              <w:t>1</w:t>
            </w:r>
            <w:r w:rsidR="00972E00" w:rsidRPr="004F0425">
              <w:rPr>
                <w:rFonts w:eastAsia="Batang"/>
                <w:b/>
              </w:rPr>
              <w:t>Q1</w:t>
            </w:r>
            <w:r w:rsidRPr="004F0425">
              <w:rPr>
                <w:rFonts w:eastAsia="Batang"/>
                <w:b/>
              </w:rPr>
              <w:t>4</w:t>
            </w:r>
            <w:r w:rsidR="00972E00" w:rsidRPr="004F0425">
              <w:rPr>
                <w:rFonts w:eastAsia="Batang"/>
                <w:b/>
              </w:rPr>
              <w:t>-</w:t>
            </w:r>
            <w:r w:rsidRPr="004F0425">
              <w:rPr>
                <w:rFonts w:eastAsia="Batang"/>
                <w:b/>
              </w:rPr>
              <w:t>1</w:t>
            </w:r>
            <w:r w:rsidR="00972E00" w:rsidRPr="004F0425">
              <w:rPr>
                <w:rFonts w:eastAsia="Batang"/>
                <w:b/>
              </w:rPr>
              <w:t>Q1</w:t>
            </w:r>
            <w:r w:rsidRPr="004F0425">
              <w:rPr>
                <w:rFonts w:eastAsia="Batang"/>
                <w:b/>
              </w:rPr>
              <w:t>3</w:t>
            </w:r>
            <w:r w:rsidR="00972E00" w:rsidRPr="004F0425">
              <w:rPr>
                <w:rFonts w:eastAsia="Batang"/>
                <w:b/>
              </w:rPr>
              <w:t xml:space="preserve"> Growth (%)</w:t>
            </w:r>
          </w:p>
        </w:tc>
      </w:tr>
      <w:tr w:rsidR="00972E00" w:rsidRPr="004F0425" w:rsidTr="00DE590E">
        <w:trPr>
          <w:cantSplit/>
          <w:trHeight w:hRule="exact" w:val="227"/>
        </w:trPr>
        <w:tc>
          <w:tcPr>
            <w:tcW w:w="1872" w:type="dxa"/>
            <w:tcBorders>
              <w:top w:val="single" w:sz="4" w:space="0" w:color="auto"/>
            </w:tcBorders>
            <w:vAlign w:val="bottom"/>
          </w:tcPr>
          <w:p w:rsidR="00972E00" w:rsidRPr="004F0425" w:rsidRDefault="00972E00" w:rsidP="00DE590E">
            <w:pPr>
              <w:rPr>
                <w:rFonts w:cs="Arial"/>
                <w:color w:val="000000"/>
              </w:rPr>
            </w:pPr>
            <w:r w:rsidRPr="004F0425">
              <w:rPr>
                <w:rFonts w:cs="Arial"/>
                <w:color w:val="000000"/>
              </w:rPr>
              <w:t>HP</w:t>
            </w:r>
          </w:p>
        </w:tc>
        <w:tc>
          <w:tcPr>
            <w:tcW w:w="1728" w:type="dxa"/>
            <w:tcBorders>
              <w:top w:val="single" w:sz="4" w:space="0" w:color="auto"/>
            </w:tcBorders>
            <w:vAlign w:val="bottom"/>
          </w:tcPr>
          <w:p w:rsidR="00972E00" w:rsidRPr="004F0425" w:rsidRDefault="00536941" w:rsidP="00DE590E">
            <w:pPr>
              <w:jc w:val="right"/>
              <w:rPr>
                <w:rFonts w:cs="Arial"/>
                <w:color w:val="000000"/>
              </w:rPr>
            </w:pPr>
            <w:r w:rsidRPr="004F0425">
              <w:rPr>
                <w:rFonts w:cs="Arial"/>
                <w:color w:val="000000"/>
              </w:rPr>
              <w:t>214,672</w:t>
            </w:r>
          </w:p>
          <w:p w:rsidR="00536941" w:rsidRPr="004F0425" w:rsidRDefault="00536941" w:rsidP="00DE590E">
            <w:pPr>
              <w:jc w:val="right"/>
              <w:rPr>
                <w:rFonts w:cs="Arial"/>
                <w:color w:val="000000"/>
              </w:rPr>
            </w:pPr>
          </w:p>
        </w:tc>
        <w:tc>
          <w:tcPr>
            <w:tcW w:w="1440" w:type="dxa"/>
            <w:tcBorders>
              <w:top w:val="single" w:sz="4" w:space="0" w:color="auto"/>
            </w:tcBorders>
            <w:vAlign w:val="bottom"/>
          </w:tcPr>
          <w:p w:rsidR="00972E00" w:rsidRPr="004F0425" w:rsidRDefault="00536941" w:rsidP="00DE590E">
            <w:pPr>
              <w:jc w:val="right"/>
              <w:rPr>
                <w:rFonts w:cs="Arial"/>
                <w:color w:val="000000"/>
              </w:rPr>
            </w:pPr>
            <w:r w:rsidRPr="004F0425">
              <w:rPr>
                <w:rFonts w:cs="Arial"/>
                <w:color w:val="000000"/>
              </w:rPr>
              <w:t>39.2</w:t>
            </w:r>
          </w:p>
        </w:tc>
        <w:tc>
          <w:tcPr>
            <w:tcW w:w="1728" w:type="dxa"/>
            <w:tcBorders>
              <w:top w:val="single" w:sz="4" w:space="0" w:color="auto"/>
            </w:tcBorders>
            <w:vAlign w:val="bottom"/>
          </w:tcPr>
          <w:p w:rsidR="00972E00" w:rsidRPr="004F0425" w:rsidRDefault="00536941" w:rsidP="00DE590E">
            <w:pPr>
              <w:jc w:val="right"/>
              <w:rPr>
                <w:rFonts w:cs="Arial"/>
                <w:color w:val="000000"/>
              </w:rPr>
            </w:pPr>
            <w:r w:rsidRPr="004F0425">
              <w:rPr>
                <w:rFonts w:cs="Arial"/>
                <w:color w:val="000000"/>
              </w:rPr>
              <w:t>218,610</w:t>
            </w:r>
          </w:p>
        </w:tc>
        <w:tc>
          <w:tcPr>
            <w:tcW w:w="1440" w:type="dxa"/>
            <w:tcBorders>
              <w:top w:val="single" w:sz="4" w:space="0" w:color="auto"/>
            </w:tcBorders>
            <w:vAlign w:val="bottom"/>
          </w:tcPr>
          <w:p w:rsidR="00972E00" w:rsidRPr="004F0425" w:rsidRDefault="00972E00" w:rsidP="00536941">
            <w:pPr>
              <w:jc w:val="right"/>
              <w:rPr>
                <w:rFonts w:cs="Arial"/>
                <w:color w:val="000000"/>
              </w:rPr>
            </w:pPr>
            <w:r w:rsidRPr="004F0425">
              <w:rPr>
                <w:rFonts w:cs="Arial"/>
                <w:color w:val="000000"/>
              </w:rPr>
              <w:t>3</w:t>
            </w:r>
            <w:r w:rsidR="00536941" w:rsidRPr="004F0425">
              <w:rPr>
                <w:rFonts w:cs="Arial"/>
                <w:color w:val="000000"/>
              </w:rPr>
              <w:t>7</w:t>
            </w:r>
            <w:r w:rsidRPr="004F0425">
              <w:rPr>
                <w:rFonts w:cs="Arial"/>
                <w:color w:val="000000"/>
              </w:rPr>
              <w:t>.</w:t>
            </w:r>
            <w:r w:rsidR="00536941" w:rsidRPr="004F0425">
              <w:rPr>
                <w:rFonts w:cs="Arial"/>
                <w:color w:val="000000"/>
              </w:rPr>
              <w:t>5</w:t>
            </w:r>
          </w:p>
        </w:tc>
        <w:tc>
          <w:tcPr>
            <w:tcW w:w="1584" w:type="dxa"/>
            <w:tcBorders>
              <w:top w:val="single" w:sz="4" w:space="0" w:color="auto"/>
            </w:tcBorders>
            <w:vAlign w:val="bottom"/>
          </w:tcPr>
          <w:p w:rsidR="00972E00" w:rsidRPr="004F0425" w:rsidRDefault="00972E00" w:rsidP="00536941">
            <w:pPr>
              <w:jc w:val="right"/>
              <w:rPr>
                <w:rFonts w:cs="Arial"/>
                <w:color w:val="000000"/>
              </w:rPr>
            </w:pPr>
            <w:r w:rsidRPr="004F0425">
              <w:rPr>
                <w:rFonts w:cs="Arial"/>
                <w:color w:val="000000"/>
              </w:rPr>
              <w:t>-</w:t>
            </w:r>
            <w:r w:rsidR="00536941" w:rsidRPr="004F0425">
              <w:rPr>
                <w:rFonts w:cs="Arial"/>
                <w:color w:val="000000"/>
              </w:rPr>
              <w:t>1</w:t>
            </w:r>
            <w:r w:rsidRPr="004F0425">
              <w:rPr>
                <w:rFonts w:cs="Arial"/>
                <w:color w:val="000000"/>
              </w:rPr>
              <w:t>.</w:t>
            </w:r>
            <w:r w:rsidR="00536941" w:rsidRPr="004F0425">
              <w:rPr>
                <w:rFonts w:cs="Arial"/>
                <w:color w:val="000000"/>
              </w:rPr>
              <w:t>8</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Dell</w:t>
            </w:r>
          </w:p>
        </w:tc>
        <w:tc>
          <w:tcPr>
            <w:tcW w:w="1728" w:type="dxa"/>
            <w:vAlign w:val="bottom"/>
          </w:tcPr>
          <w:p w:rsidR="00972E00" w:rsidRPr="004F0425" w:rsidRDefault="00536941" w:rsidP="00DE590E">
            <w:pPr>
              <w:jc w:val="right"/>
              <w:rPr>
                <w:rFonts w:cs="Arial"/>
                <w:color w:val="000000"/>
              </w:rPr>
            </w:pPr>
            <w:r w:rsidRPr="004F0425">
              <w:rPr>
                <w:rFonts w:cs="Arial"/>
                <w:color w:val="000000"/>
              </w:rPr>
              <w:t>114,569</w:t>
            </w:r>
          </w:p>
        </w:tc>
        <w:tc>
          <w:tcPr>
            <w:tcW w:w="1440" w:type="dxa"/>
            <w:vAlign w:val="bottom"/>
          </w:tcPr>
          <w:p w:rsidR="00972E00" w:rsidRPr="004F0425" w:rsidRDefault="00536941" w:rsidP="00DE590E">
            <w:pPr>
              <w:jc w:val="right"/>
              <w:rPr>
                <w:rFonts w:cs="Arial"/>
                <w:color w:val="000000"/>
              </w:rPr>
            </w:pPr>
            <w:r w:rsidRPr="004F0425">
              <w:rPr>
                <w:rFonts w:cs="Arial"/>
                <w:color w:val="000000"/>
              </w:rPr>
              <w:t>20.9</w:t>
            </w:r>
          </w:p>
        </w:tc>
        <w:tc>
          <w:tcPr>
            <w:tcW w:w="1728" w:type="dxa"/>
            <w:vAlign w:val="bottom"/>
          </w:tcPr>
          <w:p w:rsidR="00972E00" w:rsidRPr="004F0425" w:rsidRDefault="00972E00" w:rsidP="00DE590E">
            <w:pPr>
              <w:jc w:val="right"/>
              <w:rPr>
                <w:rFonts w:cs="Arial"/>
                <w:color w:val="000000"/>
              </w:rPr>
            </w:pPr>
            <w:r w:rsidRPr="004F0425">
              <w:rPr>
                <w:rFonts w:cs="Arial"/>
                <w:color w:val="000000"/>
              </w:rPr>
              <w:t>1</w:t>
            </w:r>
            <w:r w:rsidR="00536941" w:rsidRPr="004F0425">
              <w:rPr>
                <w:rFonts w:cs="Arial"/>
                <w:color w:val="000000"/>
              </w:rPr>
              <w:t>32,187</w:t>
            </w:r>
          </w:p>
        </w:tc>
        <w:tc>
          <w:tcPr>
            <w:tcW w:w="1440" w:type="dxa"/>
            <w:vAlign w:val="bottom"/>
          </w:tcPr>
          <w:p w:rsidR="00972E00" w:rsidRPr="004F0425" w:rsidRDefault="00972E00" w:rsidP="00536941">
            <w:pPr>
              <w:jc w:val="right"/>
              <w:rPr>
                <w:rFonts w:cs="Arial"/>
                <w:color w:val="000000"/>
              </w:rPr>
            </w:pPr>
            <w:r w:rsidRPr="004F0425">
              <w:rPr>
                <w:rFonts w:cs="Arial"/>
                <w:color w:val="000000"/>
              </w:rPr>
              <w:t>2</w:t>
            </w:r>
            <w:r w:rsidR="00536941" w:rsidRPr="004F0425">
              <w:rPr>
                <w:rFonts w:cs="Arial"/>
                <w:color w:val="000000"/>
              </w:rPr>
              <w:t>2</w:t>
            </w:r>
            <w:r w:rsidRPr="004F0425">
              <w:rPr>
                <w:rFonts w:cs="Arial"/>
                <w:color w:val="000000"/>
              </w:rPr>
              <w:t>.</w:t>
            </w:r>
            <w:r w:rsidR="00536941" w:rsidRPr="004F0425">
              <w:rPr>
                <w:rFonts w:cs="Arial"/>
                <w:color w:val="000000"/>
              </w:rPr>
              <w:t>7</w:t>
            </w:r>
          </w:p>
        </w:tc>
        <w:tc>
          <w:tcPr>
            <w:tcW w:w="1584" w:type="dxa"/>
            <w:vAlign w:val="bottom"/>
          </w:tcPr>
          <w:p w:rsidR="00972E00" w:rsidRPr="004F0425" w:rsidRDefault="00972E00" w:rsidP="00536941">
            <w:pPr>
              <w:jc w:val="right"/>
              <w:rPr>
                <w:rFonts w:cs="Arial"/>
                <w:color w:val="000000"/>
              </w:rPr>
            </w:pPr>
            <w:r w:rsidRPr="004F0425">
              <w:rPr>
                <w:rFonts w:cs="Arial"/>
                <w:color w:val="000000"/>
              </w:rPr>
              <w:t>-</w:t>
            </w:r>
            <w:r w:rsidR="00536941" w:rsidRPr="004F0425">
              <w:rPr>
                <w:rFonts w:cs="Arial"/>
                <w:color w:val="000000"/>
              </w:rPr>
              <w:t>13.3</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IBM</w:t>
            </w:r>
          </w:p>
        </w:tc>
        <w:tc>
          <w:tcPr>
            <w:tcW w:w="1728" w:type="dxa"/>
            <w:vAlign w:val="bottom"/>
          </w:tcPr>
          <w:p w:rsidR="00972E00" w:rsidRPr="004F0425" w:rsidRDefault="00536941" w:rsidP="00536941">
            <w:pPr>
              <w:jc w:val="right"/>
              <w:rPr>
                <w:rFonts w:cs="Arial"/>
                <w:color w:val="000000"/>
              </w:rPr>
            </w:pPr>
            <w:r w:rsidRPr="004F0425">
              <w:rPr>
                <w:rFonts w:cs="Arial"/>
                <w:color w:val="000000"/>
              </w:rPr>
              <w:t>38,997</w:t>
            </w:r>
          </w:p>
        </w:tc>
        <w:tc>
          <w:tcPr>
            <w:tcW w:w="1440" w:type="dxa"/>
            <w:vAlign w:val="bottom"/>
          </w:tcPr>
          <w:p w:rsidR="00972E00" w:rsidRPr="004F0425" w:rsidRDefault="00536941" w:rsidP="00DE590E">
            <w:pPr>
              <w:jc w:val="right"/>
              <w:rPr>
                <w:rFonts w:cs="Arial"/>
                <w:color w:val="000000"/>
              </w:rPr>
            </w:pPr>
            <w:r w:rsidRPr="004F0425">
              <w:rPr>
                <w:rFonts w:cs="Arial"/>
                <w:color w:val="000000"/>
              </w:rPr>
              <w:t>7.1</w:t>
            </w:r>
          </w:p>
        </w:tc>
        <w:tc>
          <w:tcPr>
            <w:tcW w:w="1728" w:type="dxa"/>
            <w:vAlign w:val="bottom"/>
          </w:tcPr>
          <w:p w:rsidR="00972E00" w:rsidRPr="004F0425" w:rsidRDefault="00536941" w:rsidP="004D42DA">
            <w:pPr>
              <w:jc w:val="right"/>
              <w:rPr>
                <w:rFonts w:cs="Arial"/>
                <w:color w:val="000000"/>
              </w:rPr>
            </w:pPr>
            <w:r w:rsidRPr="004F0425">
              <w:rPr>
                <w:rFonts w:cs="Arial"/>
                <w:color w:val="000000"/>
              </w:rPr>
              <w:t>56,</w:t>
            </w:r>
            <w:r w:rsidR="004D42DA" w:rsidRPr="004F0425">
              <w:rPr>
                <w:rFonts w:cs="Arial"/>
                <w:color w:val="000000"/>
              </w:rPr>
              <w:t>184</w:t>
            </w:r>
          </w:p>
        </w:tc>
        <w:tc>
          <w:tcPr>
            <w:tcW w:w="1440" w:type="dxa"/>
            <w:vAlign w:val="bottom"/>
          </w:tcPr>
          <w:p w:rsidR="00972E00" w:rsidRPr="004F0425" w:rsidRDefault="00536941" w:rsidP="00DE590E">
            <w:pPr>
              <w:jc w:val="right"/>
              <w:rPr>
                <w:rFonts w:cs="Arial"/>
                <w:color w:val="000000"/>
              </w:rPr>
            </w:pPr>
            <w:r w:rsidRPr="004F0425">
              <w:rPr>
                <w:rFonts w:cs="Arial"/>
                <w:color w:val="000000"/>
              </w:rPr>
              <w:t>9.6</w:t>
            </w:r>
          </w:p>
        </w:tc>
        <w:tc>
          <w:tcPr>
            <w:tcW w:w="1584" w:type="dxa"/>
            <w:vAlign w:val="bottom"/>
          </w:tcPr>
          <w:p w:rsidR="00972E00" w:rsidRPr="004F0425" w:rsidRDefault="00972E00" w:rsidP="00536941">
            <w:pPr>
              <w:jc w:val="right"/>
              <w:rPr>
                <w:rFonts w:cs="Arial"/>
                <w:color w:val="000000"/>
              </w:rPr>
            </w:pPr>
            <w:r w:rsidRPr="004F0425">
              <w:rPr>
                <w:rFonts w:cs="Arial"/>
                <w:color w:val="000000"/>
              </w:rPr>
              <w:t>-</w:t>
            </w:r>
            <w:r w:rsidR="00536941" w:rsidRPr="004F0425">
              <w:rPr>
                <w:rFonts w:cs="Arial"/>
                <w:color w:val="000000"/>
              </w:rPr>
              <w:t>30.6</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Fujitsu</w:t>
            </w:r>
          </w:p>
        </w:tc>
        <w:tc>
          <w:tcPr>
            <w:tcW w:w="1728" w:type="dxa"/>
            <w:vAlign w:val="bottom"/>
          </w:tcPr>
          <w:p w:rsidR="00972E00" w:rsidRPr="004F0425" w:rsidRDefault="00536941" w:rsidP="00DE590E">
            <w:pPr>
              <w:jc w:val="right"/>
              <w:rPr>
                <w:rFonts w:cs="Arial"/>
                <w:color w:val="000000"/>
              </w:rPr>
            </w:pPr>
            <w:r w:rsidRPr="004F0425">
              <w:rPr>
                <w:rFonts w:cs="Arial"/>
                <w:color w:val="000000"/>
              </w:rPr>
              <w:t>35,490</w:t>
            </w:r>
          </w:p>
        </w:tc>
        <w:tc>
          <w:tcPr>
            <w:tcW w:w="1440" w:type="dxa"/>
            <w:vAlign w:val="bottom"/>
          </w:tcPr>
          <w:p w:rsidR="00972E00" w:rsidRPr="004F0425" w:rsidRDefault="00536941" w:rsidP="00DE590E">
            <w:pPr>
              <w:jc w:val="right"/>
              <w:rPr>
                <w:rFonts w:cs="Arial"/>
                <w:color w:val="000000"/>
              </w:rPr>
            </w:pPr>
            <w:r w:rsidRPr="004F0425">
              <w:rPr>
                <w:rFonts w:cs="Arial"/>
                <w:color w:val="000000"/>
              </w:rPr>
              <w:t>6.5</w:t>
            </w:r>
          </w:p>
        </w:tc>
        <w:tc>
          <w:tcPr>
            <w:tcW w:w="1728" w:type="dxa"/>
            <w:vAlign w:val="bottom"/>
          </w:tcPr>
          <w:p w:rsidR="00972E00" w:rsidRPr="004F0425" w:rsidRDefault="00536941" w:rsidP="00DE590E">
            <w:pPr>
              <w:jc w:val="right"/>
              <w:rPr>
                <w:rFonts w:cs="Arial"/>
                <w:color w:val="000000"/>
              </w:rPr>
            </w:pPr>
            <w:r w:rsidRPr="004F0425">
              <w:rPr>
                <w:rFonts w:cs="Arial"/>
                <w:color w:val="000000"/>
              </w:rPr>
              <w:t>36,463</w:t>
            </w:r>
          </w:p>
        </w:tc>
        <w:tc>
          <w:tcPr>
            <w:tcW w:w="1440" w:type="dxa"/>
            <w:vAlign w:val="bottom"/>
          </w:tcPr>
          <w:p w:rsidR="00972E00" w:rsidRPr="004F0425" w:rsidRDefault="00536941" w:rsidP="00DE590E">
            <w:pPr>
              <w:jc w:val="right"/>
              <w:rPr>
                <w:rFonts w:cs="Arial"/>
                <w:color w:val="000000"/>
              </w:rPr>
            </w:pPr>
            <w:r w:rsidRPr="004F0425">
              <w:rPr>
                <w:rFonts w:cs="Arial"/>
                <w:color w:val="000000"/>
              </w:rPr>
              <w:t>6.2</w:t>
            </w:r>
          </w:p>
        </w:tc>
        <w:tc>
          <w:tcPr>
            <w:tcW w:w="1584" w:type="dxa"/>
            <w:vAlign w:val="bottom"/>
          </w:tcPr>
          <w:p w:rsidR="00972E00" w:rsidRPr="004F0425" w:rsidRDefault="00972E00" w:rsidP="00536941">
            <w:pPr>
              <w:jc w:val="right"/>
              <w:rPr>
                <w:rFonts w:cs="Arial"/>
                <w:color w:val="000000"/>
              </w:rPr>
            </w:pPr>
            <w:r w:rsidRPr="004F0425">
              <w:rPr>
                <w:rFonts w:cs="Arial"/>
                <w:color w:val="000000"/>
              </w:rPr>
              <w:t>-</w:t>
            </w:r>
            <w:r w:rsidR="00536941" w:rsidRPr="004F0425">
              <w:rPr>
                <w:rFonts w:cs="Arial"/>
                <w:color w:val="000000"/>
              </w:rPr>
              <w:t>2.7</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Cisco</w:t>
            </w:r>
          </w:p>
        </w:tc>
        <w:tc>
          <w:tcPr>
            <w:tcW w:w="1728" w:type="dxa"/>
            <w:vAlign w:val="bottom"/>
          </w:tcPr>
          <w:p w:rsidR="00972E00" w:rsidRPr="004F0425" w:rsidRDefault="00536941" w:rsidP="00DE590E">
            <w:pPr>
              <w:jc w:val="right"/>
              <w:rPr>
                <w:rFonts w:cs="Arial"/>
                <w:color w:val="000000"/>
              </w:rPr>
            </w:pPr>
            <w:r w:rsidRPr="004F0425">
              <w:rPr>
                <w:rFonts w:cs="Arial"/>
                <w:color w:val="000000"/>
              </w:rPr>
              <w:t>15,365</w:t>
            </w:r>
          </w:p>
        </w:tc>
        <w:tc>
          <w:tcPr>
            <w:tcW w:w="1440" w:type="dxa"/>
            <w:vAlign w:val="bottom"/>
          </w:tcPr>
          <w:p w:rsidR="00972E00" w:rsidRPr="004F0425" w:rsidRDefault="00536941" w:rsidP="00DE590E">
            <w:pPr>
              <w:jc w:val="right"/>
              <w:rPr>
                <w:rFonts w:cs="Arial"/>
                <w:color w:val="000000"/>
              </w:rPr>
            </w:pPr>
            <w:r w:rsidRPr="004F0425">
              <w:rPr>
                <w:rFonts w:cs="Arial"/>
                <w:color w:val="000000"/>
              </w:rPr>
              <w:t>2.8</w:t>
            </w:r>
          </w:p>
        </w:tc>
        <w:tc>
          <w:tcPr>
            <w:tcW w:w="1728" w:type="dxa"/>
            <w:vAlign w:val="bottom"/>
          </w:tcPr>
          <w:p w:rsidR="00972E00" w:rsidRPr="004F0425" w:rsidRDefault="00536941" w:rsidP="00DE590E">
            <w:pPr>
              <w:jc w:val="right"/>
              <w:rPr>
                <w:rFonts w:cs="Arial"/>
                <w:color w:val="000000"/>
              </w:rPr>
            </w:pPr>
            <w:r w:rsidRPr="004F0425">
              <w:rPr>
                <w:rFonts w:cs="Arial"/>
                <w:color w:val="000000"/>
              </w:rPr>
              <w:t>14,691</w:t>
            </w:r>
          </w:p>
        </w:tc>
        <w:tc>
          <w:tcPr>
            <w:tcW w:w="1440" w:type="dxa"/>
            <w:vAlign w:val="bottom"/>
          </w:tcPr>
          <w:p w:rsidR="00972E00" w:rsidRPr="004F0425" w:rsidRDefault="00536941" w:rsidP="00DE590E">
            <w:pPr>
              <w:jc w:val="right"/>
              <w:rPr>
                <w:rFonts w:cs="Arial"/>
                <w:color w:val="000000"/>
              </w:rPr>
            </w:pPr>
            <w:r w:rsidRPr="004F0425">
              <w:rPr>
                <w:rFonts w:cs="Arial"/>
                <w:color w:val="000000"/>
              </w:rPr>
              <w:t>2.5</w:t>
            </w:r>
          </w:p>
        </w:tc>
        <w:tc>
          <w:tcPr>
            <w:tcW w:w="1584" w:type="dxa"/>
            <w:vAlign w:val="bottom"/>
          </w:tcPr>
          <w:p w:rsidR="00972E00" w:rsidRPr="004F0425" w:rsidRDefault="00536941" w:rsidP="00DE590E">
            <w:pPr>
              <w:jc w:val="right"/>
              <w:rPr>
                <w:rFonts w:cs="Arial"/>
                <w:color w:val="000000"/>
              </w:rPr>
            </w:pPr>
            <w:r w:rsidRPr="004F0425">
              <w:rPr>
                <w:rFonts w:cs="Arial"/>
                <w:color w:val="000000"/>
              </w:rPr>
              <w:t>4.6</w:t>
            </w:r>
          </w:p>
        </w:tc>
      </w:tr>
      <w:tr w:rsidR="00972E00" w:rsidRPr="004F0425" w:rsidTr="00DE590E">
        <w:trPr>
          <w:cantSplit/>
          <w:trHeight w:hRule="exact" w:val="227"/>
        </w:trPr>
        <w:tc>
          <w:tcPr>
            <w:tcW w:w="1872" w:type="dxa"/>
            <w:vAlign w:val="bottom"/>
          </w:tcPr>
          <w:p w:rsidR="00972E00" w:rsidRPr="004F0425" w:rsidRDefault="00972E00" w:rsidP="00DE590E">
            <w:pPr>
              <w:rPr>
                <w:rFonts w:cs="Arial"/>
                <w:color w:val="000000"/>
              </w:rPr>
            </w:pPr>
            <w:r w:rsidRPr="004F0425">
              <w:rPr>
                <w:rFonts w:cs="Arial"/>
                <w:color w:val="000000"/>
              </w:rPr>
              <w:t>Others</w:t>
            </w:r>
          </w:p>
        </w:tc>
        <w:tc>
          <w:tcPr>
            <w:tcW w:w="1728" w:type="dxa"/>
            <w:vAlign w:val="bottom"/>
          </w:tcPr>
          <w:p w:rsidR="00972E00" w:rsidRPr="004F0425" w:rsidRDefault="00536941" w:rsidP="00DE590E">
            <w:pPr>
              <w:jc w:val="right"/>
              <w:rPr>
                <w:rFonts w:cs="Arial"/>
                <w:color w:val="000000"/>
              </w:rPr>
            </w:pPr>
            <w:r w:rsidRPr="004F0425">
              <w:rPr>
                <w:rFonts w:cs="Arial"/>
                <w:color w:val="000000"/>
              </w:rPr>
              <w:t>128,807</w:t>
            </w:r>
          </w:p>
        </w:tc>
        <w:tc>
          <w:tcPr>
            <w:tcW w:w="1440" w:type="dxa"/>
            <w:vAlign w:val="bottom"/>
          </w:tcPr>
          <w:p w:rsidR="00972E00" w:rsidRPr="004F0425" w:rsidRDefault="00972E00" w:rsidP="00DE590E">
            <w:pPr>
              <w:jc w:val="right"/>
              <w:rPr>
                <w:rFonts w:cs="Arial"/>
                <w:color w:val="000000"/>
              </w:rPr>
            </w:pPr>
            <w:r w:rsidRPr="004F0425">
              <w:rPr>
                <w:rFonts w:cs="Arial"/>
                <w:color w:val="000000"/>
              </w:rPr>
              <w:t>2</w:t>
            </w:r>
            <w:r w:rsidR="00536941" w:rsidRPr="004F0425">
              <w:rPr>
                <w:rFonts w:cs="Arial"/>
                <w:color w:val="000000"/>
              </w:rPr>
              <w:t>3.5</w:t>
            </w:r>
          </w:p>
        </w:tc>
        <w:tc>
          <w:tcPr>
            <w:tcW w:w="1728" w:type="dxa"/>
            <w:vAlign w:val="bottom"/>
          </w:tcPr>
          <w:p w:rsidR="00972E00" w:rsidRPr="004F0425" w:rsidRDefault="00972E00" w:rsidP="00DE590E">
            <w:pPr>
              <w:jc w:val="right"/>
              <w:rPr>
                <w:rFonts w:cs="Arial"/>
                <w:color w:val="000000"/>
              </w:rPr>
            </w:pPr>
            <w:r w:rsidRPr="004F0425">
              <w:rPr>
                <w:rFonts w:cs="Arial"/>
                <w:color w:val="000000"/>
              </w:rPr>
              <w:t>12</w:t>
            </w:r>
            <w:r w:rsidR="00536941" w:rsidRPr="004F0425">
              <w:rPr>
                <w:rFonts w:cs="Arial"/>
                <w:color w:val="000000"/>
              </w:rPr>
              <w:t>5,308</w:t>
            </w:r>
          </w:p>
        </w:tc>
        <w:tc>
          <w:tcPr>
            <w:tcW w:w="1440" w:type="dxa"/>
            <w:vAlign w:val="bottom"/>
          </w:tcPr>
          <w:p w:rsidR="00972E00" w:rsidRPr="004F0425" w:rsidRDefault="00536941" w:rsidP="00DE590E">
            <w:pPr>
              <w:jc w:val="right"/>
              <w:rPr>
                <w:rFonts w:cs="Arial"/>
                <w:color w:val="000000"/>
              </w:rPr>
            </w:pPr>
            <w:r w:rsidRPr="004F0425">
              <w:rPr>
                <w:rFonts w:cs="Arial"/>
                <w:color w:val="000000"/>
              </w:rPr>
              <w:t>21.5</w:t>
            </w:r>
          </w:p>
        </w:tc>
        <w:tc>
          <w:tcPr>
            <w:tcW w:w="1584" w:type="dxa"/>
            <w:vAlign w:val="bottom"/>
          </w:tcPr>
          <w:p w:rsidR="00972E00" w:rsidRPr="004F0425" w:rsidRDefault="00536941" w:rsidP="00DE590E">
            <w:pPr>
              <w:jc w:val="right"/>
              <w:rPr>
                <w:rFonts w:cs="Arial"/>
                <w:color w:val="000000"/>
              </w:rPr>
            </w:pPr>
            <w:r w:rsidRPr="004F0425">
              <w:rPr>
                <w:rFonts w:cs="Arial"/>
                <w:color w:val="000000"/>
              </w:rPr>
              <w:t>2.8</w:t>
            </w:r>
          </w:p>
        </w:tc>
      </w:tr>
      <w:tr w:rsidR="00972E00" w:rsidRPr="004F0425" w:rsidTr="00DE590E">
        <w:trPr>
          <w:cantSplit/>
          <w:trHeight w:hRule="exact" w:val="227"/>
        </w:trPr>
        <w:tc>
          <w:tcPr>
            <w:tcW w:w="1872" w:type="dxa"/>
            <w:vAlign w:val="bottom"/>
          </w:tcPr>
          <w:p w:rsidR="00972E00" w:rsidRPr="004F0425" w:rsidRDefault="00972E00" w:rsidP="00DE590E">
            <w:pPr>
              <w:rPr>
                <w:rFonts w:cs="Arial"/>
                <w:b/>
                <w:color w:val="000000"/>
              </w:rPr>
            </w:pPr>
            <w:r w:rsidRPr="004F0425">
              <w:rPr>
                <w:rFonts w:cs="Arial"/>
                <w:b/>
                <w:color w:val="000000"/>
              </w:rPr>
              <w:t>Total</w:t>
            </w:r>
          </w:p>
        </w:tc>
        <w:tc>
          <w:tcPr>
            <w:tcW w:w="1728" w:type="dxa"/>
            <w:vAlign w:val="bottom"/>
          </w:tcPr>
          <w:p w:rsidR="00972E00" w:rsidRPr="004F0425" w:rsidRDefault="00536941" w:rsidP="00DE590E">
            <w:pPr>
              <w:jc w:val="right"/>
              <w:rPr>
                <w:rFonts w:cs="Arial"/>
                <w:b/>
                <w:color w:val="000000"/>
              </w:rPr>
            </w:pPr>
            <w:r w:rsidRPr="004F0425">
              <w:rPr>
                <w:rFonts w:cs="Arial"/>
                <w:b/>
                <w:color w:val="000000"/>
              </w:rPr>
              <w:t>547,901</w:t>
            </w:r>
          </w:p>
        </w:tc>
        <w:tc>
          <w:tcPr>
            <w:tcW w:w="1440" w:type="dxa"/>
            <w:vAlign w:val="bottom"/>
          </w:tcPr>
          <w:p w:rsidR="00972E00" w:rsidRPr="004F0425" w:rsidRDefault="00972E00" w:rsidP="00DE590E">
            <w:pPr>
              <w:jc w:val="right"/>
              <w:rPr>
                <w:rFonts w:cs="Arial"/>
                <w:b/>
                <w:color w:val="000000"/>
              </w:rPr>
            </w:pPr>
            <w:r w:rsidRPr="004F0425">
              <w:rPr>
                <w:rFonts w:cs="Arial"/>
                <w:b/>
                <w:color w:val="000000"/>
              </w:rPr>
              <w:t>100.0</w:t>
            </w:r>
          </w:p>
        </w:tc>
        <w:tc>
          <w:tcPr>
            <w:tcW w:w="1728" w:type="dxa"/>
            <w:vAlign w:val="bottom"/>
          </w:tcPr>
          <w:p w:rsidR="00972E00" w:rsidRPr="004F0425" w:rsidRDefault="00536941" w:rsidP="00DE590E">
            <w:pPr>
              <w:jc w:val="right"/>
              <w:rPr>
                <w:rFonts w:cs="Arial"/>
                <w:b/>
                <w:color w:val="000000"/>
              </w:rPr>
            </w:pPr>
            <w:r w:rsidRPr="004F0425">
              <w:rPr>
                <w:rFonts w:cs="Arial"/>
                <w:b/>
                <w:color w:val="000000"/>
              </w:rPr>
              <w:t>583,443</w:t>
            </w:r>
          </w:p>
        </w:tc>
        <w:tc>
          <w:tcPr>
            <w:tcW w:w="1440" w:type="dxa"/>
            <w:vAlign w:val="bottom"/>
          </w:tcPr>
          <w:p w:rsidR="00972E00" w:rsidRPr="004F0425" w:rsidRDefault="00972E00" w:rsidP="00DE590E">
            <w:pPr>
              <w:jc w:val="right"/>
              <w:rPr>
                <w:rFonts w:cs="Arial"/>
                <w:b/>
                <w:color w:val="000000"/>
              </w:rPr>
            </w:pPr>
            <w:r w:rsidRPr="004F0425">
              <w:rPr>
                <w:rFonts w:cs="Arial"/>
                <w:b/>
                <w:color w:val="000000"/>
              </w:rPr>
              <w:t>100.0</w:t>
            </w:r>
          </w:p>
        </w:tc>
        <w:tc>
          <w:tcPr>
            <w:tcW w:w="1584" w:type="dxa"/>
            <w:vAlign w:val="bottom"/>
          </w:tcPr>
          <w:p w:rsidR="00972E00" w:rsidRPr="004F0425" w:rsidRDefault="00972E00" w:rsidP="00536941">
            <w:pPr>
              <w:jc w:val="right"/>
              <w:rPr>
                <w:rFonts w:cs="Arial"/>
                <w:b/>
                <w:color w:val="000000"/>
              </w:rPr>
            </w:pPr>
            <w:r w:rsidRPr="004F0425">
              <w:rPr>
                <w:rFonts w:cs="Arial"/>
                <w:b/>
                <w:color w:val="000000"/>
              </w:rPr>
              <w:t>-</w:t>
            </w:r>
            <w:r w:rsidR="00536941" w:rsidRPr="004F0425">
              <w:rPr>
                <w:rFonts w:cs="Arial"/>
                <w:b/>
                <w:color w:val="000000"/>
              </w:rPr>
              <w:t>6.1</w:t>
            </w:r>
          </w:p>
        </w:tc>
      </w:tr>
    </w:tbl>
    <w:p w:rsidR="00972E00" w:rsidRPr="004F0425" w:rsidRDefault="00972E00" w:rsidP="00972E00">
      <w:pPr>
        <w:rPr>
          <w:rFonts w:cs="Arial"/>
          <w:color w:val="000000"/>
          <w:sz w:val="16"/>
          <w:szCs w:val="16"/>
          <w:lang w:eastAsia="en-GB"/>
        </w:rPr>
      </w:pPr>
      <w:r w:rsidRPr="004F0425">
        <w:rPr>
          <w:rFonts w:cs="Arial"/>
          <w:color w:val="000000"/>
          <w:sz w:val="16"/>
          <w:szCs w:val="16"/>
          <w:lang w:eastAsia="en-GB"/>
        </w:rPr>
        <w:t>Source: Gartner (</w:t>
      </w:r>
      <w:r w:rsidR="00536941" w:rsidRPr="004F0425">
        <w:rPr>
          <w:rFonts w:cs="Arial"/>
          <w:color w:val="000000"/>
          <w:sz w:val="16"/>
          <w:szCs w:val="16"/>
          <w:lang w:eastAsia="en-GB"/>
        </w:rPr>
        <w:t>May</w:t>
      </w:r>
      <w:r w:rsidRPr="004F0425">
        <w:rPr>
          <w:rFonts w:cs="Arial"/>
          <w:color w:val="000000"/>
          <w:sz w:val="16"/>
          <w:szCs w:val="16"/>
          <w:lang w:eastAsia="en-GB"/>
        </w:rPr>
        <w:t xml:space="preserve"> 2014)</w:t>
      </w:r>
    </w:p>
    <w:p w:rsidR="00892F2A" w:rsidRPr="004F0425" w:rsidRDefault="00892F2A" w:rsidP="00892F2A">
      <w:pPr>
        <w:jc w:val="left"/>
        <w:rPr>
          <w:rFonts w:cs="Arial"/>
          <w:sz w:val="22"/>
          <w:szCs w:val="22"/>
        </w:rPr>
      </w:pPr>
    </w:p>
    <w:p w:rsidR="00892F2A" w:rsidRPr="004F0425" w:rsidRDefault="00892F2A" w:rsidP="00892F2A">
      <w:pPr>
        <w:pStyle w:val="BodyText"/>
        <w:widowControl/>
        <w:spacing w:after="0" w:line="240" w:lineRule="auto"/>
        <w:rPr>
          <w:szCs w:val="22"/>
        </w:rPr>
      </w:pPr>
      <w:r w:rsidRPr="004F0425">
        <w:rPr>
          <w:szCs w:val="22"/>
        </w:rPr>
        <w:t xml:space="preserve">Additional information is available to subscribers of Gartner Servers Quarterly Statistics Worldwide </w:t>
      </w:r>
      <w:r w:rsidR="004F0425">
        <w:rPr>
          <w:szCs w:val="22"/>
        </w:rPr>
        <w:t>programme</w:t>
      </w:r>
      <w:r w:rsidRPr="004F0425">
        <w:rPr>
          <w:szCs w:val="22"/>
        </w:rPr>
        <w:t xml:space="preserve">. This </w:t>
      </w:r>
      <w:r w:rsidR="004F0425">
        <w:rPr>
          <w:szCs w:val="22"/>
        </w:rPr>
        <w:t>programme</w:t>
      </w:r>
      <w:r w:rsidRPr="004F0425">
        <w:rPr>
          <w:szCs w:val="22"/>
        </w:rPr>
        <w:t xml:space="preserve"> provides worldwide market size and share data by vendor revenue and unit shipments. Segments include: region, vendor, vendor brand, sub brand, CPU type, CPU group, Max CPU, platform, price band, operating systems and distribution channels.</w:t>
      </w:r>
    </w:p>
    <w:p w:rsidR="00892F2A" w:rsidRPr="004F0425" w:rsidRDefault="00892F2A" w:rsidP="00892F2A">
      <w:pPr>
        <w:pStyle w:val="BodyText"/>
        <w:widowControl/>
        <w:spacing w:after="0" w:line="240" w:lineRule="auto"/>
        <w:rPr>
          <w:szCs w:val="22"/>
        </w:rPr>
      </w:pPr>
    </w:p>
    <w:p w:rsidR="006C2A27" w:rsidRPr="004F0425" w:rsidRDefault="006C2A27" w:rsidP="006C2A27">
      <w:pPr>
        <w:pStyle w:val="BodyText"/>
        <w:widowControl/>
        <w:spacing w:after="0" w:line="240" w:lineRule="auto"/>
        <w:jc w:val="both"/>
        <w:rPr>
          <w:rFonts w:cs="Arial"/>
          <w:b/>
          <w:szCs w:val="22"/>
        </w:rPr>
      </w:pPr>
      <w:r w:rsidRPr="004F0425">
        <w:rPr>
          <w:rFonts w:cs="Arial"/>
          <w:b/>
          <w:szCs w:val="22"/>
        </w:rPr>
        <w:t>About Gartner</w:t>
      </w:r>
    </w:p>
    <w:p w:rsidR="006C2A27" w:rsidRPr="004F0425" w:rsidRDefault="006C2A27" w:rsidP="006C2A27">
      <w:pPr>
        <w:pStyle w:val="NormalWeb"/>
        <w:spacing w:before="0" w:beforeAutospacing="0" w:after="0" w:afterAutospacing="0"/>
        <w:rPr>
          <w:rFonts w:ascii="Arial" w:hAnsi="Arial" w:cs="Arial"/>
          <w:color w:val="333333"/>
          <w:sz w:val="22"/>
          <w:szCs w:val="22"/>
        </w:rPr>
      </w:pPr>
      <w:r w:rsidRPr="004F0425">
        <w:rPr>
          <w:rFonts w:ascii="Arial" w:hAnsi="Arial"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14,000 distinct organizations. Through the resources of Gartner Research, Gartner Executive </w:t>
      </w:r>
      <w:r w:rsidR="004F0425">
        <w:rPr>
          <w:rFonts w:ascii="Arial" w:hAnsi="Arial" w:cs="Arial"/>
          <w:sz w:val="22"/>
          <w:szCs w:val="22"/>
        </w:rPr>
        <w:t>Programme</w:t>
      </w:r>
      <w:r w:rsidRPr="004F0425">
        <w:rPr>
          <w:rFonts w:ascii="Arial" w:hAnsi="Arial" w:cs="Arial"/>
          <w:sz w:val="22"/>
          <w:szCs w:val="22"/>
        </w:rPr>
        <w:t xml:space="preserve">s, Gartner Consulting and Gartner Events, Gartner works with every client to research, analyze and interpret the business of IT within the context of their individual role. Founded in 1979, Gartner is headquartered in Stamford, Connecticut, USA, and has 6,100 associates, including more than 1,460 research analysts and consultants, and clients in 85 countries. For more information, visit </w:t>
      </w:r>
      <w:hyperlink r:id="rId10" w:history="1">
        <w:r w:rsidRPr="004F0425">
          <w:rPr>
            <w:rStyle w:val="Hyperlink"/>
            <w:rFonts w:ascii="Arial" w:hAnsi="Arial" w:cs="Arial"/>
            <w:sz w:val="22"/>
            <w:szCs w:val="22"/>
          </w:rPr>
          <w:t>www.gartner.com</w:t>
        </w:r>
      </w:hyperlink>
      <w:r w:rsidRPr="004F0425">
        <w:rPr>
          <w:rFonts w:ascii="Arial" w:hAnsi="Arial" w:cs="Arial"/>
          <w:color w:val="333333"/>
          <w:sz w:val="22"/>
          <w:szCs w:val="22"/>
        </w:rPr>
        <w:t>.</w:t>
      </w:r>
    </w:p>
    <w:p w:rsidR="006C2A27" w:rsidRPr="004F0425" w:rsidRDefault="006C2A27" w:rsidP="006C2A27">
      <w:pPr>
        <w:pStyle w:val="NormalWeb"/>
        <w:spacing w:before="0" w:beforeAutospacing="0" w:after="0" w:afterAutospacing="0"/>
        <w:jc w:val="center"/>
        <w:rPr>
          <w:rFonts w:ascii="Arial" w:hAnsi="Arial" w:cs="Arial"/>
          <w:sz w:val="22"/>
          <w:szCs w:val="22"/>
        </w:rPr>
      </w:pPr>
      <w:r w:rsidRPr="004F0425">
        <w:rPr>
          <w:rFonts w:ascii="Arial" w:hAnsi="Arial" w:cs="Arial"/>
          <w:sz w:val="22"/>
          <w:szCs w:val="22"/>
        </w:rPr>
        <w:t># # #</w:t>
      </w:r>
    </w:p>
    <w:p w:rsidR="00BF719B" w:rsidRPr="004F0425" w:rsidRDefault="00BF719B" w:rsidP="006C2A27">
      <w:pPr>
        <w:jc w:val="center"/>
        <w:rPr>
          <w:sz w:val="22"/>
        </w:rPr>
      </w:pPr>
    </w:p>
    <w:sectPr w:rsidR="00BF719B" w:rsidRPr="004F0425" w:rsidSect="00281BEB">
      <w:headerReference w:type="default" r:id="rId11"/>
      <w:footerReference w:type="default" r:id="rId12"/>
      <w:headerReference w:type="first" r:id="rId13"/>
      <w:footerReference w:type="first" r:id="rId14"/>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5A" w:rsidRDefault="003C775A">
      <w:r>
        <w:separator/>
      </w:r>
    </w:p>
  </w:endnote>
  <w:endnote w:type="continuationSeparator" w:id="0">
    <w:p w:rsidR="003C775A" w:rsidRDefault="003C775A">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E171D7">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E171D7">
      <w:tc>
        <w:tcPr>
          <w:tcW w:w="6991" w:type="dxa"/>
        </w:tcPr>
        <w:p w:rsidR="00E171D7" w:rsidRDefault="00E171D7">
          <w:pPr>
            <w:pStyle w:val="xFtrLogo"/>
            <w:rPr>
              <w:b/>
            </w:rPr>
          </w:pPr>
          <w:r>
            <w:rPr>
              <w:b/>
            </w:rPr>
            <w:t xml:space="preserve">Gartner, Inc. </w:t>
          </w:r>
        </w:p>
      </w:tc>
      <w:tc>
        <w:tcPr>
          <w:tcW w:w="3449" w:type="dxa"/>
        </w:tcPr>
        <w:p w:rsidR="00E171D7" w:rsidRDefault="00E171D7">
          <w:pPr>
            <w:pStyle w:val="Footer"/>
            <w:spacing w:before="60"/>
            <w:ind w:left="144"/>
            <w:jc w:val="right"/>
          </w:pPr>
          <w:r>
            <w:t xml:space="preserve">page </w:t>
          </w:r>
          <w:r w:rsidR="0044155D">
            <w:rPr>
              <w:rStyle w:val="PageNumber"/>
            </w:rPr>
            <w:fldChar w:fldCharType="begin"/>
          </w:r>
          <w:r>
            <w:rPr>
              <w:rStyle w:val="PageNumber"/>
            </w:rPr>
            <w:instrText xml:space="preserve"> PAGE </w:instrText>
          </w:r>
          <w:r w:rsidR="0044155D">
            <w:rPr>
              <w:rStyle w:val="PageNumber"/>
            </w:rPr>
            <w:fldChar w:fldCharType="separate"/>
          </w:r>
          <w:r w:rsidR="00972658">
            <w:rPr>
              <w:rStyle w:val="PageNumber"/>
              <w:noProof/>
            </w:rPr>
            <w:t>2</w:t>
          </w:r>
          <w:r w:rsidR="0044155D">
            <w:rPr>
              <w:rStyle w:val="PageNumber"/>
            </w:rPr>
            <w:fldChar w:fldCharType="end"/>
          </w:r>
        </w:p>
      </w:tc>
    </w:tr>
  </w:tbl>
  <w:p w:rsidR="00E171D7" w:rsidRDefault="00E171D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44155D">
    <w:pPr>
      <w:jc w:val="center"/>
    </w:pPr>
    <w:r>
      <w:fldChar w:fldCharType="begin"/>
    </w:r>
    <w:r w:rsidR="00E171D7">
      <w:instrText xml:space="preserve"> if </w:instrText>
    </w:r>
    <w:r>
      <w:fldChar w:fldCharType="begin"/>
    </w:r>
    <w:r w:rsidR="00E76FDE">
      <w:instrText xml:space="preserve"> page </w:instrText>
    </w:r>
    <w:r>
      <w:fldChar w:fldCharType="separate"/>
    </w:r>
    <w:r w:rsidR="00972658">
      <w:rPr>
        <w:noProof/>
      </w:rPr>
      <w:instrText>1</w:instrText>
    </w:r>
    <w:r>
      <w:rPr>
        <w:noProof/>
      </w:rPr>
      <w:fldChar w:fldCharType="end"/>
    </w:r>
    <w:r w:rsidR="00E171D7">
      <w:instrText xml:space="preserve"> = </w:instrText>
    </w:r>
    <w:r>
      <w:fldChar w:fldCharType="begin"/>
    </w:r>
    <w:r w:rsidR="00E76FDE">
      <w:instrText xml:space="preserve"> numpages </w:instrText>
    </w:r>
    <w:r>
      <w:fldChar w:fldCharType="separate"/>
    </w:r>
    <w:r w:rsidR="00972658">
      <w:rPr>
        <w:noProof/>
      </w:rPr>
      <w:instrText>3</w:instrText>
    </w:r>
    <w:r>
      <w:rPr>
        <w:noProof/>
      </w:rPr>
      <w:fldChar w:fldCharType="end"/>
    </w:r>
    <w:r w:rsidR="00E171D7">
      <w:instrText xml:space="preserve"> "" "-more-" </w:instrText>
    </w:r>
    <w:r w:rsidR="00972658">
      <w:fldChar w:fldCharType="separate"/>
    </w:r>
    <w:r w:rsidR="00972658">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5A" w:rsidRDefault="003C775A">
      <w:r>
        <w:separator/>
      </w:r>
    </w:p>
  </w:footnote>
  <w:footnote w:type="continuationSeparator" w:id="0">
    <w:p w:rsidR="003C775A" w:rsidRDefault="003C7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E171D7">
    <w:pPr>
      <w:pStyle w:val="Header"/>
    </w:pPr>
  </w:p>
  <w:p w:rsidR="00E171D7" w:rsidRDefault="00E17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E171D7">
      <w:trPr>
        <w:gridAfter w:val="1"/>
        <w:wAfter w:w="27" w:type="dxa"/>
        <w:cantSplit/>
        <w:trHeight w:hRule="exact" w:val="900"/>
      </w:trPr>
      <w:tc>
        <w:tcPr>
          <w:tcW w:w="2610" w:type="dxa"/>
        </w:tcPr>
        <w:p w:rsidR="00E171D7" w:rsidRDefault="009A0C28">
          <w:pPr>
            <w:pStyle w:val="xHdrLogo"/>
          </w:pPr>
          <w:r>
            <w:rPr>
              <w:noProof/>
              <w:lang w:eastAsia="en-GB"/>
            </w:rPr>
            <w:drawing>
              <wp:inline distT="0" distB="0" distL="0" distR="0">
                <wp:extent cx="1647825" cy="40005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c>
        <w:tcPr>
          <w:tcW w:w="900" w:type="dxa"/>
        </w:tcPr>
        <w:p w:rsidR="00E171D7" w:rsidRDefault="00E171D7"/>
      </w:tc>
      <w:tc>
        <w:tcPr>
          <w:tcW w:w="165" w:type="dxa"/>
          <w:tcBorders>
            <w:bottom w:val="single" w:sz="6" w:space="0" w:color="auto"/>
            <w:right w:val="single" w:sz="6" w:space="0" w:color="auto"/>
          </w:tcBorders>
        </w:tcPr>
        <w:p w:rsidR="00E171D7" w:rsidRDefault="00E171D7"/>
      </w:tc>
      <w:tc>
        <w:tcPr>
          <w:tcW w:w="6675" w:type="dxa"/>
          <w:tcBorders>
            <w:left w:val="single" w:sz="6" w:space="0" w:color="auto"/>
          </w:tcBorders>
        </w:tcPr>
        <w:p w:rsidR="00E171D7" w:rsidRDefault="0044155D">
          <w:pPr>
            <w:pStyle w:val="xHdrServiceName"/>
          </w:pPr>
          <w:r>
            <w:rPr>
              <w:sz w:val="72"/>
            </w:rPr>
            <w:fldChar w:fldCharType="begin"/>
          </w:r>
          <w:r w:rsidR="00E171D7">
            <w:rPr>
              <w:sz w:val="72"/>
            </w:rPr>
            <w:instrText xml:space="preserve"> MACROBUTTON DocumentSetup </w:instrText>
          </w:r>
          <w:r>
            <w:rPr>
              <w:sz w:val="72"/>
            </w:rPr>
            <w:fldChar w:fldCharType="begin"/>
          </w:r>
          <w:r w:rsidR="00E171D7">
            <w:rPr>
              <w:sz w:val="72"/>
            </w:rPr>
            <w:instrText xml:space="preserve"> DOCPROPERTY SubTypeDesc </w:instrText>
          </w:r>
          <w:r>
            <w:rPr>
              <w:sz w:val="72"/>
            </w:rPr>
            <w:fldChar w:fldCharType="separate"/>
          </w:r>
          <w:r w:rsidR="00E171D7">
            <w:rPr>
              <w:sz w:val="72"/>
            </w:rPr>
            <w:instrText>Press Release</w:instrText>
          </w:r>
          <w:r>
            <w:rPr>
              <w:sz w:val="72"/>
            </w:rPr>
            <w:fldChar w:fldCharType="end"/>
          </w:r>
          <w:r>
            <w:rPr>
              <w:sz w:val="72"/>
            </w:rPr>
            <w:fldChar w:fldCharType="end"/>
          </w:r>
        </w:p>
      </w:tc>
    </w:tr>
    <w:tr w:rsidR="00E171D7">
      <w:trPr>
        <w:cantSplit/>
      </w:trPr>
      <w:tc>
        <w:tcPr>
          <w:tcW w:w="3510" w:type="dxa"/>
          <w:gridSpan w:val="2"/>
        </w:tcPr>
        <w:p w:rsidR="00E171D7" w:rsidRDefault="00E171D7">
          <w:pPr>
            <w:spacing w:before="60" w:after="60"/>
            <w:ind w:left="1080"/>
          </w:pPr>
        </w:p>
      </w:tc>
      <w:tc>
        <w:tcPr>
          <w:tcW w:w="165" w:type="dxa"/>
        </w:tcPr>
        <w:p w:rsidR="00E171D7" w:rsidRDefault="00E171D7">
          <w:pPr>
            <w:spacing w:before="60" w:after="60"/>
            <w:ind w:left="1080"/>
            <w:rPr>
              <w:b/>
            </w:rPr>
          </w:pPr>
        </w:p>
      </w:tc>
      <w:tc>
        <w:tcPr>
          <w:tcW w:w="6702" w:type="dxa"/>
          <w:gridSpan w:val="2"/>
        </w:tcPr>
        <w:p w:rsidR="00E171D7" w:rsidRDefault="00E171D7"/>
      </w:tc>
    </w:tr>
  </w:tbl>
  <w:p w:rsidR="00E171D7" w:rsidRDefault="00E17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2">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lt;"/>
    <w:docVar w:name="Summary" w:val="橄懖୰ࠛग찔抩"/>
  </w:docVars>
  <w:rsids>
    <w:rsidRoot w:val="0045312A"/>
    <w:rsid w:val="00001D3A"/>
    <w:rsid w:val="00004185"/>
    <w:rsid w:val="00007897"/>
    <w:rsid w:val="000132E3"/>
    <w:rsid w:val="00017600"/>
    <w:rsid w:val="0003271C"/>
    <w:rsid w:val="0003566C"/>
    <w:rsid w:val="0004358D"/>
    <w:rsid w:val="00047A61"/>
    <w:rsid w:val="000516E8"/>
    <w:rsid w:val="00052B1A"/>
    <w:rsid w:val="00052E8A"/>
    <w:rsid w:val="00053F49"/>
    <w:rsid w:val="000575A2"/>
    <w:rsid w:val="00060675"/>
    <w:rsid w:val="00061BD7"/>
    <w:rsid w:val="00062EA5"/>
    <w:rsid w:val="0006463E"/>
    <w:rsid w:val="000652D8"/>
    <w:rsid w:val="00071DC7"/>
    <w:rsid w:val="00076FB4"/>
    <w:rsid w:val="00077645"/>
    <w:rsid w:val="00081CB7"/>
    <w:rsid w:val="00084A8B"/>
    <w:rsid w:val="0008519B"/>
    <w:rsid w:val="00086A16"/>
    <w:rsid w:val="000906E6"/>
    <w:rsid w:val="000A5A17"/>
    <w:rsid w:val="000A7206"/>
    <w:rsid w:val="000A770B"/>
    <w:rsid w:val="000B222E"/>
    <w:rsid w:val="000C3580"/>
    <w:rsid w:val="000C7415"/>
    <w:rsid w:val="000E0A2B"/>
    <w:rsid w:val="00105F79"/>
    <w:rsid w:val="00106503"/>
    <w:rsid w:val="00120E4C"/>
    <w:rsid w:val="00127650"/>
    <w:rsid w:val="00131150"/>
    <w:rsid w:val="00142085"/>
    <w:rsid w:val="00142CBF"/>
    <w:rsid w:val="00146DB2"/>
    <w:rsid w:val="00151572"/>
    <w:rsid w:val="0015794E"/>
    <w:rsid w:val="001603E1"/>
    <w:rsid w:val="00160B8D"/>
    <w:rsid w:val="001647F2"/>
    <w:rsid w:val="00172286"/>
    <w:rsid w:val="00182FB3"/>
    <w:rsid w:val="00184399"/>
    <w:rsid w:val="00192F86"/>
    <w:rsid w:val="00196B03"/>
    <w:rsid w:val="00197EFA"/>
    <w:rsid w:val="001B11D8"/>
    <w:rsid w:val="001B470A"/>
    <w:rsid w:val="001C2A4F"/>
    <w:rsid w:val="001D7D41"/>
    <w:rsid w:val="001E252E"/>
    <w:rsid w:val="001E673F"/>
    <w:rsid w:val="001F01A2"/>
    <w:rsid w:val="001F230A"/>
    <w:rsid w:val="001F50BD"/>
    <w:rsid w:val="0020066A"/>
    <w:rsid w:val="0020342E"/>
    <w:rsid w:val="00225F0C"/>
    <w:rsid w:val="00242B53"/>
    <w:rsid w:val="00244F8A"/>
    <w:rsid w:val="00262FE2"/>
    <w:rsid w:val="002779AE"/>
    <w:rsid w:val="00281BEB"/>
    <w:rsid w:val="00284C4C"/>
    <w:rsid w:val="002868D6"/>
    <w:rsid w:val="00291FBE"/>
    <w:rsid w:val="002A2D5B"/>
    <w:rsid w:val="002A4215"/>
    <w:rsid w:val="002A7650"/>
    <w:rsid w:val="002B3A73"/>
    <w:rsid w:val="002C4DEF"/>
    <w:rsid w:val="002D0158"/>
    <w:rsid w:val="002D1CBA"/>
    <w:rsid w:val="002D1CC4"/>
    <w:rsid w:val="002D41E1"/>
    <w:rsid w:val="002E4C3E"/>
    <w:rsid w:val="002E61F1"/>
    <w:rsid w:val="0032094D"/>
    <w:rsid w:val="00320F4B"/>
    <w:rsid w:val="00322C98"/>
    <w:rsid w:val="00323219"/>
    <w:rsid w:val="00333EDD"/>
    <w:rsid w:val="0034094F"/>
    <w:rsid w:val="003430CA"/>
    <w:rsid w:val="00354248"/>
    <w:rsid w:val="00354A8A"/>
    <w:rsid w:val="0035610E"/>
    <w:rsid w:val="00363379"/>
    <w:rsid w:val="0038090C"/>
    <w:rsid w:val="003A5483"/>
    <w:rsid w:val="003B2CB7"/>
    <w:rsid w:val="003B70EE"/>
    <w:rsid w:val="003B7E86"/>
    <w:rsid w:val="003C3BE4"/>
    <w:rsid w:val="003C775A"/>
    <w:rsid w:val="003D618B"/>
    <w:rsid w:val="003E2146"/>
    <w:rsid w:val="003E771D"/>
    <w:rsid w:val="003F2E33"/>
    <w:rsid w:val="00403451"/>
    <w:rsid w:val="00407A65"/>
    <w:rsid w:val="00410354"/>
    <w:rsid w:val="0042267B"/>
    <w:rsid w:val="004229E7"/>
    <w:rsid w:val="00425391"/>
    <w:rsid w:val="00431ACD"/>
    <w:rsid w:val="0044155D"/>
    <w:rsid w:val="004512D7"/>
    <w:rsid w:val="00452743"/>
    <w:rsid w:val="0045312A"/>
    <w:rsid w:val="00453CE0"/>
    <w:rsid w:val="0045428A"/>
    <w:rsid w:val="00457277"/>
    <w:rsid w:val="00471E05"/>
    <w:rsid w:val="00477273"/>
    <w:rsid w:val="00477874"/>
    <w:rsid w:val="00484954"/>
    <w:rsid w:val="00493C6E"/>
    <w:rsid w:val="0049674D"/>
    <w:rsid w:val="004A22A6"/>
    <w:rsid w:val="004A2A42"/>
    <w:rsid w:val="004A5DDF"/>
    <w:rsid w:val="004A6BA5"/>
    <w:rsid w:val="004C1770"/>
    <w:rsid w:val="004D1A6A"/>
    <w:rsid w:val="004D42DA"/>
    <w:rsid w:val="004D4CAE"/>
    <w:rsid w:val="004D5615"/>
    <w:rsid w:val="004F0425"/>
    <w:rsid w:val="004F112F"/>
    <w:rsid w:val="005026AF"/>
    <w:rsid w:val="00506C21"/>
    <w:rsid w:val="00512213"/>
    <w:rsid w:val="0051462E"/>
    <w:rsid w:val="00520B96"/>
    <w:rsid w:val="0052652E"/>
    <w:rsid w:val="005324BD"/>
    <w:rsid w:val="00533403"/>
    <w:rsid w:val="00533C74"/>
    <w:rsid w:val="00536941"/>
    <w:rsid w:val="00537796"/>
    <w:rsid w:val="005400B4"/>
    <w:rsid w:val="0054255D"/>
    <w:rsid w:val="00545A37"/>
    <w:rsid w:val="00555219"/>
    <w:rsid w:val="0055762F"/>
    <w:rsid w:val="00562AC7"/>
    <w:rsid w:val="0058342F"/>
    <w:rsid w:val="00590B16"/>
    <w:rsid w:val="0059415D"/>
    <w:rsid w:val="00594E87"/>
    <w:rsid w:val="005A068F"/>
    <w:rsid w:val="005A125D"/>
    <w:rsid w:val="005C1894"/>
    <w:rsid w:val="005C416E"/>
    <w:rsid w:val="005D3941"/>
    <w:rsid w:val="005D7A79"/>
    <w:rsid w:val="005E2598"/>
    <w:rsid w:val="005E3346"/>
    <w:rsid w:val="005E430C"/>
    <w:rsid w:val="005E6C41"/>
    <w:rsid w:val="005F08E1"/>
    <w:rsid w:val="005F7544"/>
    <w:rsid w:val="006030CF"/>
    <w:rsid w:val="00612ADB"/>
    <w:rsid w:val="00616A8F"/>
    <w:rsid w:val="00617E9A"/>
    <w:rsid w:val="00624C89"/>
    <w:rsid w:val="00630AF5"/>
    <w:rsid w:val="006311F8"/>
    <w:rsid w:val="006342B5"/>
    <w:rsid w:val="00637D49"/>
    <w:rsid w:val="00640F2C"/>
    <w:rsid w:val="00646974"/>
    <w:rsid w:val="00651906"/>
    <w:rsid w:val="006556D6"/>
    <w:rsid w:val="00660C0C"/>
    <w:rsid w:val="00661659"/>
    <w:rsid w:val="006627DE"/>
    <w:rsid w:val="00665E11"/>
    <w:rsid w:val="00670DE7"/>
    <w:rsid w:val="006802C8"/>
    <w:rsid w:val="00690D2B"/>
    <w:rsid w:val="00693EFD"/>
    <w:rsid w:val="00694D9F"/>
    <w:rsid w:val="00696BF5"/>
    <w:rsid w:val="006A0C74"/>
    <w:rsid w:val="006A2E61"/>
    <w:rsid w:val="006A3410"/>
    <w:rsid w:val="006C1675"/>
    <w:rsid w:val="006C2A27"/>
    <w:rsid w:val="006D011D"/>
    <w:rsid w:val="006D653E"/>
    <w:rsid w:val="006E0E89"/>
    <w:rsid w:val="006E4B46"/>
    <w:rsid w:val="006F4AAD"/>
    <w:rsid w:val="006F5603"/>
    <w:rsid w:val="007013EF"/>
    <w:rsid w:val="007070B5"/>
    <w:rsid w:val="00717291"/>
    <w:rsid w:val="00724926"/>
    <w:rsid w:val="00724B88"/>
    <w:rsid w:val="0073003C"/>
    <w:rsid w:val="0073285F"/>
    <w:rsid w:val="00735965"/>
    <w:rsid w:val="00737D54"/>
    <w:rsid w:val="0074331F"/>
    <w:rsid w:val="00751E9E"/>
    <w:rsid w:val="00751F74"/>
    <w:rsid w:val="00756487"/>
    <w:rsid w:val="00767894"/>
    <w:rsid w:val="0077054B"/>
    <w:rsid w:val="00775B32"/>
    <w:rsid w:val="0078196B"/>
    <w:rsid w:val="007839B2"/>
    <w:rsid w:val="007877B1"/>
    <w:rsid w:val="00793D90"/>
    <w:rsid w:val="007B04C8"/>
    <w:rsid w:val="007B1733"/>
    <w:rsid w:val="007C0637"/>
    <w:rsid w:val="007C0F9D"/>
    <w:rsid w:val="007D1AF1"/>
    <w:rsid w:val="007E1854"/>
    <w:rsid w:val="007F3B0A"/>
    <w:rsid w:val="007F5C19"/>
    <w:rsid w:val="0081007F"/>
    <w:rsid w:val="00817B6C"/>
    <w:rsid w:val="00831A64"/>
    <w:rsid w:val="00835D69"/>
    <w:rsid w:val="00836AA1"/>
    <w:rsid w:val="00845FD4"/>
    <w:rsid w:val="00846039"/>
    <w:rsid w:val="00853605"/>
    <w:rsid w:val="00854464"/>
    <w:rsid w:val="00863F03"/>
    <w:rsid w:val="008730A9"/>
    <w:rsid w:val="0087707D"/>
    <w:rsid w:val="008775F8"/>
    <w:rsid w:val="00883174"/>
    <w:rsid w:val="00892F2A"/>
    <w:rsid w:val="008A0C15"/>
    <w:rsid w:val="008B43FB"/>
    <w:rsid w:val="008B4846"/>
    <w:rsid w:val="008B731B"/>
    <w:rsid w:val="008B75BC"/>
    <w:rsid w:val="008C180A"/>
    <w:rsid w:val="008C2A88"/>
    <w:rsid w:val="008D03A0"/>
    <w:rsid w:val="008E6A46"/>
    <w:rsid w:val="00904F52"/>
    <w:rsid w:val="009104FD"/>
    <w:rsid w:val="00917735"/>
    <w:rsid w:val="00920676"/>
    <w:rsid w:val="0092700A"/>
    <w:rsid w:val="009270F2"/>
    <w:rsid w:val="0093530D"/>
    <w:rsid w:val="00937A6A"/>
    <w:rsid w:val="00950350"/>
    <w:rsid w:val="0095055D"/>
    <w:rsid w:val="00953842"/>
    <w:rsid w:val="009577E0"/>
    <w:rsid w:val="00967347"/>
    <w:rsid w:val="009723DD"/>
    <w:rsid w:val="00972658"/>
    <w:rsid w:val="00972E00"/>
    <w:rsid w:val="00977586"/>
    <w:rsid w:val="009858CB"/>
    <w:rsid w:val="009920DD"/>
    <w:rsid w:val="00994221"/>
    <w:rsid w:val="00994CB4"/>
    <w:rsid w:val="009967EB"/>
    <w:rsid w:val="009A0C28"/>
    <w:rsid w:val="009A517E"/>
    <w:rsid w:val="009A685E"/>
    <w:rsid w:val="009A7E83"/>
    <w:rsid w:val="009C0274"/>
    <w:rsid w:val="009C612C"/>
    <w:rsid w:val="009C69F4"/>
    <w:rsid w:val="009E46E9"/>
    <w:rsid w:val="009F11F1"/>
    <w:rsid w:val="009F1672"/>
    <w:rsid w:val="009F3EE3"/>
    <w:rsid w:val="009F662D"/>
    <w:rsid w:val="00A04043"/>
    <w:rsid w:val="00A04470"/>
    <w:rsid w:val="00A07F83"/>
    <w:rsid w:val="00A10F3F"/>
    <w:rsid w:val="00A11829"/>
    <w:rsid w:val="00A1715C"/>
    <w:rsid w:val="00A23F61"/>
    <w:rsid w:val="00A26143"/>
    <w:rsid w:val="00A3010D"/>
    <w:rsid w:val="00A52E1D"/>
    <w:rsid w:val="00A55243"/>
    <w:rsid w:val="00A57AA7"/>
    <w:rsid w:val="00A67926"/>
    <w:rsid w:val="00A70366"/>
    <w:rsid w:val="00A81BAF"/>
    <w:rsid w:val="00A84733"/>
    <w:rsid w:val="00A87DA9"/>
    <w:rsid w:val="00A95AEE"/>
    <w:rsid w:val="00A97A55"/>
    <w:rsid w:val="00A97B6C"/>
    <w:rsid w:val="00AA0E53"/>
    <w:rsid w:val="00AA1928"/>
    <w:rsid w:val="00AA7052"/>
    <w:rsid w:val="00AA7510"/>
    <w:rsid w:val="00AB58E1"/>
    <w:rsid w:val="00AB5B37"/>
    <w:rsid w:val="00AC6B58"/>
    <w:rsid w:val="00AD477F"/>
    <w:rsid w:val="00AD5855"/>
    <w:rsid w:val="00AD5962"/>
    <w:rsid w:val="00AF2007"/>
    <w:rsid w:val="00B00634"/>
    <w:rsid w:val="00B1031A"/>
    <w:rsid w:val="00B11548"/>
    <w:rsid w:val="00B15D78"/>
    <w:rsid w:val="00B21A6A"/>
    <w:rsid w:val="00B240F8"/>
    <w:rsid w:val="00B35661"/>
    <w:rsid w:val="00B5695C"/>
    <w:rsid w:val="00B620FE"/>
    <w:rsid w:val="00B64690"/>
    <w:rsid w:val="00B80EA0"/>
    <w:rsid w:val="00B8766E"/>
    <w:rsid w:val="00B9438B"/>
    <w:rsid w:val="00B968AB"/>
    <w:rsid w:val="00BA20CA"/>
    <w:rsid w:val="00BA51C6"/>
    <w:rsid w:val="00BB2A7A"/>
    <w:rsid w:val="00BC0972"/>
    <w:rsid w:val="00BC41A6"/>
    <w:rsid w:val="00BC7407"/>
    <w:rsid w:val="00BC78B8"/>
    <w:rsid w:val="00BD442B"/>
    <w:rsid w:val="00BD4DC0"/>
    <w:rsid w:val="00BE6219"/>
    <w:rsid w:val="00BF2DE2"/>
    <w:rsid w:val="00BF719B"/>
    <w:rsid w:val="00BF7D00"/>
    <w:rsid w:val="00C04B82"/>
    <w:rsid w:val="00C0629A"/>
    <w:rsid w:val="00C276EC"/>
    <w:rsid w:val="00C27B93"/>
    <w:rsid w:val="00C50B46"/>
    <w:rsid w:val="00C53FE1"/>
    <w:rsid w:val="00C559F8"/>
    <w:rsid w:val="00C55A8F"/>
    <w:rsid w:val="00C56860"/>
    <w:rsid w:val="00C63AB2"/>
    <w:rsid w:val="00C64343"/>
    <w:rsid w:val="00C649C4"/>
    <w:rsid w:val="00C64E87"/>
    <w:rsid w:val="00C84CC0"/>
    <w:rsid w:val="00C92A91"/>
    <w:rsid w:val="00C9429A"/>
    <w:rsid w:val="00CA6A21"/>
    <w:rsid w:val="00CB69F5"/>
    <w:rsid w:val="00CB7A36"/>
    <w:rsid w:val="00CD1CE7"/>
    <w:rsid w:val="00CD1E8A"/>
    <w:rsid w:val="00CD2627"/>
    <w:rsid w:val="00CE4335"/>
    <w:rsid w:val="00CE757B"/>
    <w:rsid w:val="00CF314A"/>
    <w:rsid w:val="00CF4CF0"/>
    <w:rsid w:val="00D076D6"/>
    <w:rsid w:val="00D21131"/>
    <w:rsid w:val="00D243D0"/>
    <w:rsid w:val="00D42665"/>
    <w:rsid w:val="00D43C17"/>
    <w:rsid w:val="00D52654"/>
    <w:rsid w:val="00D550B2"/>
    <w:rsid w:val="00D55DED"/>
    <w:rsid w:val="00D576EE"/>
    <w:rsid w:val="00D62636"/>
    <w:rsid w:val="00D7028B"/>
    <w:rsid w:val="00D7492B"/>
    <w:rsid w:val="00D76990"/>
    <w:rsid w:val="00D86639"/>
    <w:rsid w:val="00D91454"/>
    <w:rsid w:val="00DA1C9C"/>
    <w:rsid w:val="00DA4ED1"/>
    <w:rsid w:val="00DB63C0"/>
    <w:rsid w:val="00DC4118"/>
    <w:rsid w:val="00DE43F4"/>
    <w:rsid w:val="00DE4D17"/>
    <w:rsid w:val="00DE7BB0"/>
    <w:rsid w:val="00DF3F5A"/>
    <w:rsid w:val="00E049FB"/>
    <w:rsid w:val="00E16C89"/>
    <w:rsid w:val="00E171D7"/>
    <w:rsid w:val="00E23B10"/>
    <w:rsid w:val="00E315B2"/>
    <w:rsid w:val="00E337B0"/>
    <w:rsid w:val="00E3568B"/>
    <w:rsid w:val="00E45FA4"/>
    <w:rsid w:val="00E57ED7"/>
    <w:rsid w:val="00E61481"/>
    <w:rsid w:val="00E61FA0"/>
    <w:rsid w:val="00E62180"/>
    <w:rsid w:val="00E73876"/>
    <w:rsid w:val="00E74084"/>
    <w:rsid w:val="00E75F8B"/>
    <w:rsid w:val="00E76FDE"/>
    <w:rsid w:val="00E77AF7"/>
    <w:rsid w:val="00E912EC"/>
    <w:rsid w:val="00E91655"/>
    <w:rsid w:val="00E96555"/>
    <w:rsid w:val="00EA2F97"/>
    <w:rsid w:val="00EA3074"/>
    <w:rsid w:val="00EA4894"/>
    <w:rsid w:val="00EB4025"/>
    <w:rsid w:val="00EB704D"/>
    <w:rsid w:val="00EB72A3"/>
    <w:rsid w:val="00F03DB4"/>
    <w:rsid w:val="00F10A34"/>
    <w:rsid w:val="00F131C7"/>
    <w:rsid w:val="00F14039"/>
    <w:rsid w:val="00F21E98"/>
    <w:rsid w:val="00F22A61"/>
    <w:rsid w:val="00F27839"/>
    <w:rsid w:val="00F3147E"/>
    <w:rsid w:val="00F35A36"/>
    <w:rsid w:val="00F40463"/>
    <w:rsid w:val="00F43924"/>
    <w:rsid w:val="00F562F6"/>
    <w:rsid w:val="00F60A0D"/>
    <w:rsid w:val="00F63756"/>
    <w:rsid w:val="00F713F6"/>
    <w:rsid w:val="00F86896"/>
    <w:rsid w:val="00F92DE2"/>
    <w:rsid w:val="00FA53B0"/>
    <w:rsid w:val="00FC0BFF"/>
    <w:rsid w:val="00FC1BE7"/>
    <w:rsid w:val="00FC46F2"/>
    <w:rsid w:val="00FC650E"/>
    <w:rsid w:val="00FE02B4"/>
    <w:rsid w:val="00FF4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EB"/>
    <w:pPr>
      <w:jc w:val="both"/>
    </w:pPr>
    <w:rPr>
      <w:rFonts w:ascii="Arial" w:hAnsi="Arial"/>
      <w:lang w:val="en-GB"/>
    </w:rPr>
  </w:style>
  <w:style w:type="paragraph" w:styleId="Heading1">
    <w:name w:val="heading 1"/>
    <w:basedOn w:val="Normal"/>
    <w:next w:val="Normal"/>
    <w:qFormat/>
    <w:rsid w:val="00281BEB"/>
    <w:pPr>
      <w:keepNext/>
      <w:spacing w:before="240" w:after="60"/>
      <w:outlineLvl w:val="0"/>
    </w:pPr>
    <w:rPr>
      <w:b/>
      <w:kern w:val="28"/>
      <w:sz w:val="28"/>
    </w:rPr>
  </w:style>
  <w:style w:type="paragraph" w:styleId="Heading2">
    <w:name w:val="heading 2"/>
    <w:basedOn w:val="Normal"/>
    <w:next w:val="Normal"/>
    <w:qFormat/>
    <w:rsid w:val="00281BEB"/>
    <w:pPr>
      <w:keepNext/>
      <w:spacing w:before="360" w:after="60" w:line="280" w:lineRule="atLeast"/>
      <w:outlineLvl w:val="1"/>
    </w:pPr>
    <w:rPr>
      <w:b/>
      <w:sz w:val="24"/>
    </w:rPr>
  </w:style>
  <w:style w:type="paragraph" w:styleId="Heading3">
    <w:name w:val="heading 3"/>
    <w:basedOn w:val="Normal"/>
    <w:next w:val="Normal"/>
    <w:qFormat/>
    <w:rsid w:val="00281BEB"/>
    <w:pPr>
      <w:keepNext/>
      <w:spacing w:before="240" w:after="60"/>
      <w:outlineLvl w:val="2"/>
    </w:pPr>
    <w:rPr>
      <w:sz w:val="24"/>
    </w:rPr>
  </w:style>
  <w:style w:type="paragraph" w:styleId="Heading4">
    <w:name w:val="heading 4"/>
    <w:basedOn w:val="Normal"/>
    <w:next w:val="Normal"/>
    <w:qFormat/>
    <w:rsid w:val="00281BEB"/>
    <w:pPr>
      <w:keepNext/>
      <w:jc w:val="center"/>
      <w:outlineLvl w:val="3"/>
    </w:pPr>
    <w:rPr>
      <w:b/>
      <w:sz w:val="24"/>
    </w:rPr>
  </w:style>
  <w:style w:type="paragraph" w:styleId="Heading5">
    <w:name w:val="heading 5"/>
    <w:basedOn w:val="Normal"/>
    <w:next w:val="Normal"/>
    <w:qFormat/>
    <w:rsid w:val="00281BEB"/>
    <w:pPr>
      <w:keepNext/>
      <w:jc w:val="center"/>
      <w:outlineLvl w:val="4"/>
    </w:pPr>
    <w:rPr>
      <w:i/>
      <w:sz w:val="24"/>
    </w:rPr>
  </w:style>
  <w:style w:type="paragraph" w:styleId="Heading6">
    <w:name w:val="heading 6"/>
    <w:basedOn w:val="Normal"/>
    <w:next w:val="Normal"/>
    <w:qFormat/>
    <w:rsid w:val="00281BEB"/>
    <w:pPr>
      <w:keepNext/>
      <w:jc w:val="left"/>
      <w:outlineLvl w:val="5"/>
    </w:pPr>
    <w:rPr>
      <w:b/>
      <w:snapToGrid w:val="0"/>
      <w:color w:val="0000FF"/>
      <w:sz w:val="22"/>
    </w:rPr>
  </w:style>
  <w:style w:type="paragraph" w:styleId="Heading7">
    <w:name w:val="heading 7"/>
    <w:basedOn w:val="Normal"/>
    <w:next w:val="Normal"/>
    <w:qFormat/>
    <w:rsid w:val="00281BEB"/>
    <w:pPr>
      <w:keepNext/>
      <w:spacing w:after="120"/>
      <w:jc w:val="center"/>
      <w:outlineLvl w:val="6"/>
    </w:pPr>
    <w:rPr>
      <w:b/>
      <w:i/>
      <w:color w:val="000000"/>
      <w:sz w:val="22"/>
    </w:rPr>
  </w:style>
  <w:style w:type="paragraph" w:styleId="Heading8">
    <w:name w:val="heading 8"/>
    <w:basedOn w:val="Normal"/>
    <w:next w:val="Normal"/>
    <w:qFormat/>
    <w:rsid w:val="00281BEB"/>
    <w:pPr>
      <w:keepNext/>
      <w:jc w:val="left"/>
      <w:outlineLvl w:val="7"/>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BEB"/>
    <w:pPr>
      <w:tabs>
        <w:tab w:val="center" w:pos="4320"/>
        <w:tab w:val="right" w:pos="8640"/>
      </w:tabs>
    </w:pPr>
  </w:style>
  <w:style w:type="paragraph" w:styleId="Footer">
    <w:name w:val="footer"/>
    <w:basedOn w:val="Normal"/>
    <w:rsid w:val="00281BEB"/>
    <w:pPr>
      <w:tabs>
        <w:tab w:val="center" w:pos="4320"/>
        <w:tab w:val="right" w:pos="8640"/>
      </w:tabs>
    </w:pPr>
  </w:style>
  <w:style w:type="paragraph" w:customStyle="1" w:styleId="Text">
    <w:name w:val="_Text"/>
    <w:basedOn w:val="Normal"/>
    <w:rsid w:val="00281BEB"/>
  </w:style>
  <w:style w:type="character" w:styleId="PageNumber">
    <w:name w:val="page number"/>
    <w:basedOn w:val="DefaultParagraphFont"/>
    <w:rsid w:val="00281BEB"/>
  </w:style>
  <w:style w:type="paragraph" w:customStyle="1" w:styleId="xFtrLogo">
    <w:name w:val="x_FtrLogo"/>
    <w:basedOn w:val="Normal"/>
    <w:rsid w:val="00281BEB"/>
    <w:pPr>
      <w:spacing w:before="60"/>
    </w:pPr>
  </w:style>
  <w:style w:type="paragraph" w:customStyle="1" w:styleId="xHdrLogo">
    <w:name w:val="x_HdrLogo"/>
    <w:basedOn w:val="Normal"/>
    <w:rsid w:val="00281BEB"/>
    <w:pPr>
      <w:spacing w:before="120"/>
    </w:pPr>
  </w:style>
  <w:style w:type="paragraph" w:customStyle="1" w:styleId="xHdrServiceName">
    <w:name w:val="x_HdrServiceName"/>
    <w:basedOn w:val="Normal"/>
    <w:rsid w:val="00281BEB"/>
    <w:pPr>
      <w:spacing w:before="120"/>
      <w:ind w:left="216"/>
      <w:jc w:val="right"/>
    </w:pPr>
    <w:rPr>
      <w:b/>
      <w:sz w:val="28"/>
    </w:rPr>
  </w:style>
  <w:style w:type="paragraph" w:customStyle="1" w:styleId="Date1">
    <w:name w:val="Date1"/>
    <w:basedOn w:val="Heading3"/>
    <w:rsid w:val="00281BEB"/>
    <w:pPr>
      <w:keepNext w:val="0"/>
      <w:spacing w:before="40" w:after="20"/>
      <w:ind w:right="57"/>
      <w:jc w:val="right"/>
      <w:outlineLvl w:val="9"/>
    </w:pPr>
    <w:rPr>
      <w:b/>
      <w:i/>
      <w:sz w:val="18"/>
    </w:rPr>
  </w:style>
  <w:style w:type="paragraph" w:customStyle="1" w:styleId="Subtitle">
    <w:name w:val="_Subtitle"/>
    <w:basedOn w:val="Normal"/>
    <w:next w:val="Normal"/>
    <w:rsid w:val="00281BEB"/>
    <w:pPr>
      <w:jc w:val="center"/>
    </w:pPr>
    <w:rPr>
      <w:b/>
      <w:sz w:val="22"/>
    </w:rPr>
  </w:style>
  <w:style w:type="paragraph" w:customStyle="1" w:styleId="HeadingJustified">
    <w:name w:val="_HeadingJustified"/>
    <w:basedOn w:val="Normal"/>
    <w:next w:val="Normal"/>
    <w:rsid w:val="00281BEB"/>
    <w:rPr>
      <w:b/>
    </w:rPr>
  </w:style>
  <w:style w:type="paragraph" w:styleId="BodyText2">
    <w:name w:val="Body Text 2"/>
    <w:basedOn w:val="Normal"/>
    <w:rsid w:val="00281BEB"/>
    <w:pPr>
      <w:widowControl w:val="0"/>
      <w:ind w:right="842"/>
    </w:pPr>
    <w:rPr>
      <w:rFonts w:ascii="Bookman Old Style" w:hAnsi="Bookman Old Style"/>
    </w:rPr>
  </w:style>
  <w:style w:type="paragraph" w:customStyle="1" w:styleId="TextJustified">
    <w:name w:val="_TextJustified"/>
    <w:basedOn w:val="Normal"/>
    <w:rsid w:val="00281BEB"/>
    <w:pPr>
      <w:ind w:right="1080"/>
    </w:pPr>
  </w:style>
  <w:style w:type="paragraph" w:customStyle="1" w:styleId="Title">
    <w:name w:val="_Title"/>
    <w:basedOn w:val="Heading1"/>
    <w:rsid w:val="00281BEB"/>
    <w:pPr>
      <w:spacing w:before="60" w:after="360"/>
      <w:jc w:val="center"/>
      <w:outlineLvl w:val="9"/>
    </w:pPr>
  </w:style>
  <w:style w:type="paragraph" w:styleId="BodyText">
    <w:name w:val="Body Text"/>
    <w:basedOn w:val="Normal"/>
    <w:link w:val="BodyTextChar"/>
    <w:rsid w:val="00281BEB"/>
    <w:pPr>
      <w:widowControl w:val="0"/>
      <w:spacing w:after="120" w:line="360" w:lineRule="auto"/>
      <w:jc w:val="left"/>
    </w:pPr>
    <w:rPr>
      <w:snapToGrid w:val="0"/>
      <w:sz w:val="22"/>
    </w:rPr>
  </w:style>
  <w:style w:type="character" w:styleId="Hyperlink">
    <w:name w:val="Hyperlink"/>
    <w:basedOn w:val="DefaultParagraphFont"/>
    <w:rsid w:val="00281BEB"/>
    <w:rPr>
      <w:color w:val="0000FF"/>
      <w:u w:val="single"/>
    </w:rPr>
  </w:style>
  <w:style w:type="paragraph" w:styleId="Title0">
    <w:name w:val="Title"/>
    <w:basedOn w:val="Normal"/>
    <w:qFormat/>
    <w:rsid w:val="00281BEB"/>
    <w:pPr>
      <w:jc w:val="center"/>
    </w:pPr>
    <w:rPr>
      <w:rFonts w:ascii="Times New Roman" w:hAnsi="Times New Roman"/>
      <w:b/>
      <w:sz w:val="28"/>
    </w:rPr>
  </w:style>
  <w:style w:type="paragraph" w:styleId="BodyText3">
    <w:name w:val="Body Text 3"/>
    <w:basedOn w:val="Normal"/>
    <w:rsid w:val="00281BEB"/>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281BEB"/>
    <w:pPr>
      <w:widowControl w:val="0"/>
      <w:tabs>
        <w:tab w:val="right" w:pos="9180"/>
      </w:tabs>
      <w:jc w:val="left"/>
    </w:pPr>
    <w:rPr>
      <w:rFonts w:ascii="Palatino" w:hAnsi="Palatino"/>
      <w:sz w:val="22"/>
    </w:rPr>
  </w:style>
  <w:style w:type="character" w:styleId="FollowedHyperlink">
    <w:name w:val="FollowedHyperlink"/>
    <w:basedOn w:val="DefaultParagraphFont"/>
    <w:rsid w:val="00281BEB"/>
    <w:rPr>
      <w:color w:val="800080"/>
      <w:u w:val="single"/>
    </w:rPr>
  </w:style>
  <w:style w:type="paragraph" w:customStyle="1" w:styleId="bullet1">
    <w:name w:val="bullet 1"/>
    <w:basedOn w:val="Normal"/>
    <w:rsid w:val="00281BEB"/>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281BEB"/>
    <w:pPr>
      <w:keepNext/>
      <w:spacing w:before="60" w:line="200" w:lineRule="atLeast"/>
      <w:jc w:val="right"/>
    </w:pPr>
    <w:rPr>
      <w:rFonts w:ascii="Palatino" w:hAnsi="Palatino"/>
      <w:b/>
      <w:sz w:val="16"/>
    </w:rPr>
  </w:style>
  <w:style w:type="paragraph" w:customStyle="1" w:styleId="cellbodyL">
    <w:name w:val="cellbodyL"/>
    <w:basedOn w:val="Normal"/>
    <w:rsid w:val="00281BEB"/>
    <w:pPr>
      <w:keepNext/>
      <w:spacing w:before="60" w:line="200" w:lineRule="atLeast"/>
      <w:jc w:val="left"/>
    </w:pPr>
    <w:rPr>
      <w:rFonts w:ascii="Palatino" w:hAnsi="Palatino"/>
      <w:sz w:val="16"/>
    </w:rPr>
  </w:style>
  <w:style w:type="paragraph" w:customStyle="1" w:styleId="1tabletitle">
    <w:name w:val="1table_title"/>
    <w:basedOn w:val="Normal"/>
    <w:rsid w:val="00281BEB"/>
    <w:pPr>
      <w:keepNext/>
      <w:spacing w:after="60" w:line="200" w:lineRule="atLeast"/>
      <w:jc w:val="left"/>
    </w:pPr>
    <w:rPr>
      <w:rFonts w:ascii="Palatino" w:hAnsi="Palatino"/>
      <w:b/>
      <w:sz w:val="24"/>
    </w:rPr>
  </w:style>
  <w:style w:type="paragraph" w:customStyle="1" w:styleId="TableFootnote">
    <w:name w:val="TableFootnote"/>
    <w:basedOn w:val="Normal"/>
    <w:next w:val="Normal"/>
    <w:rsid w:val="00281BEB"/>
    <w:pPr>
      <w:spacing w:after="360" w:line="200" w:lineRule="atLeast"/>
      <w:jc w:val="left"/>
    </w:pPr>
    <w:rPr>
      <w:rFonts w:ascii="Helvetica" w:hAnsi="Helvetica"/>
      <w:sz w:val="16"/>
    </w:rPr>
  </w:style>
  <w:style w:type="paragraph" w:styleId="BalloonText">
    <w:name w:val="Balloon Text"/>
    <w:basedOn w:val="Normal"/>
    <w:semiHidden/>
    <w:rsid w:val="00281BEB"/>
    <w:rPr>
      <w:rFonts w:ascii="Tahoma" w:hAnsi="Tahoma" w:cs="Tahoma"/>
      <w:sz w:val="16"/>
      <w:szCs w:val="16"/>
    </w:rPr>
  </w:style>
  <w:style w:type="paragraph" w:customStyle="1" w:styleId="cellbodyR">
    <w:name w:val="cellbodyR"/>
    <w:basedOn w:val="cellbodyL"/>
    <w:rsid w:val="00281BEB"/>
    <w:pPr>
      <w:jc w:val="right"/>
    </w:pPr>
    <w:rPr>
      <w:lang w:eastAsia="ko-KR"/>
    </w:rPr>
  </w:style>
  <w:style w:type="paragraph" w:styleId="NormalWeb">
    <w:name w:val="Normal (Web)"/>
    <w:basedOn w:val="Normal"/>
    <w:uiPriority w:val="99"/>
    <w:rsid w:val="00646974"/>
    <w:pPr>
      <w:spacing w:before="100" w:beforeAutospacing="1" w:after="100" w:afterAutospacing="1"/>
      <w:jc w:val="left"/>
    </w:pPr>
    <w:rPr>
      <w:rFonts w:ascii="Times New Roman" w:hAnsi="Times New Roman"/>
      <w:sz w:val="24"/>
      <w:szCs w:val="24"/>
    </w:rPr>
  </w:style>
  <w:style w:type="character" w:customStyle="1" w:styleId="EmailStyle421">
    <w:name w:val="EmailStyle421"/>
    <w:basedOn w:val="DefaultParagraphFont"/>
    <w:semiHidden/>
    <w:rsid w:val="005F7544"/>
    <w:rPr>
      <w:rFonts w:ascii="Comic Sans MS" w:hAnsi="Comic Sans MS"/>
      <w:b w:val="0"/>
      <w:bCs w:val="0"/>
      <w:i w:val="0"/>
      <w:iCs w:val="0"/>
      <w:strike w:val="0"/>
      <w:color w:val="0000FF"/>
      <w:sz w:val="20"/>
      <w:szCs w:val="20"/>
      <w:u w:val="none"/>
    </w:rPr>
  </w:style>
  <w:style w:type="paragraph" w:styleId="DocumentMap">
    <w:name w:val="Document Map"/>
    <w:basedOn w:val="Normal"/>
    <w:semiHidden/>
    <w:rsid w:val="00F60A0D"/>
    <w:pPr>
      <w:shd w:val="clear" w:color="auto" w:fill="000080"/>
    </w:pPr>
    <w:rPr>
      <w:rFonts w:ascii="Tahoma" w:hAnsi="Tahoma" w:cs="Tahoma"/>
    </w:rPr>
  </w:style>
  <w:style w:type="character" w:styleId="CommentReference">
    <w:name w:val="annotation reference"/>
    <w:basedOn w:val="DefaultParagraphFont"/>
    <w:rsid w:val="00CD2627"/>
    <w:rPr>
      <w:sz w:val="16"/>
      <w:szCs w:val="16"/>
    </w:rPr>
  </w:style>
  <w:style w:type="paragraph" w:styleId="CommentText">
    <w:name w:val="annotation text"/>
    <w:basedOn w:val="Normal"/>
    <w:link w:val="CommentTextChar"/>
    <w:rsid w:val="00CD2627"/>
  </w:style>
  <w:style w:type="character" w:customStyle="1" w:styleId="CommentTextChar">
    <w:name w:val="Comment Text Char"/>
    <w:basedOn w:val="DefaultParagraphFont"/>
    <w:link w:val="CommentText"/>
    <w:rsid w:val="00CD2627"/>
    <w:rPr>
      <w:rFonts w:ascii="Arial" w:hAnsi="Arial"/>
    </w:rPr>
  </w:style>
  <w:style w:type="paragraph" w:styleId="CommentSubject">
    <w:name w:val="annotation subject"/>
    <w:basedOn w:val="CommentText"/>
    <w:next w:val="CommentText"/>
    <w:link w:val="CommentSubjectChar"/>
    <w:rsid w:val="00CD2627"/>
    <w:rPr>
      <w:b/>
      <w:bCs/>
    </w:rPr>
  </w:style>
  <w:style w:type="character" w:customStyle="1" w:styleId="CommentSubjectChar">
    <w:name w:val="Comment Subject Char"/>
    <w:basedOn w:val="CommentTextChar"/>
    <w:link w:val="CommentSubject"/>
    <w:rsid w:val="00CD2627"/>
    <w:rPr>
      <w:rFonts w:ascii="Arial" w:hAnsi="Arial"/>
      <w:b/>
      <w:bCs/>
    </w:rPr>
  </w:style>
  <w:style w:type="character" w:customStyle="1" w:styleId="BodyTextChar">
    <w:name w:val="Body Text Char"/>
    <w:basedOn w:val="DefaultParagraphFont"/>
    <w:link w:val="BodyText"/>
    <w:rsid w:val="00471E05"/>
    <w:rPr>
      <w:rFonts w:ascii="Arial" w:hAnsi="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EB"/>
    <w:pPr>
      <w:jc w:val="both"/>
    </w:pPr>
    <w:rPr>
      <w:rFonts w:ascii="Arial" w:hAnsi="Arial"/>
    </w:rPr>
  </w:style>
  <w:style w:type="paragraph" w:styleId="Heading1">
    <w:name w:val="heading 1"/>
    <w:basedOn w:val="Normal"/>
    <w:next w:val="Normal"/>
    <w:qFormat/>
    <w:rsid w:val="00281BEB"/>
    <w:pPr>
      <w:keepNext/>
      <w:spacing w:before="240" w:after="60"/>
      <w:outlineLvl w:val="0"/>
    </w:pPr>
    <w:rPr>
      <w:b/>
      <w:kern w:val="28"/>
      <w:sz w:val="28"/>
    </w:rPr>
  </w:style>
  <w:style w:type="paragraph" w:styleId="Heading2">
    <w:name w:val="heading 2"/>
    <w:basedOn w:val="Normal"/>
    <w:next w:val="Normal"/>
    <w:qFormat/>
    <w:rsid w:val="00281BEB"/>
    <w:pPr>
      <w:keepNext/>
      <w:spacing w:before="360" w:after="60" w:line="280" w:lineRule="atLeast"/>
      <w:outlineLvl w:val="1"/>
    </w:pPr>
    <w:rPr>
      <w:b/>
      <w:sz w:val="24"/>
    </w:rPr>
  </w:style>
  <w:style w:type="paragraph" w:styleId="Heading3">
    <w:name w:val="heading 3"/>
    <w:basedOn w:val="Normal"/>
    <w:next w:val="Normal"/>
    <w:qFormat/>
    <w:rsid w:val="00281BEB"/>
    <w:pPr>
      <w:keepNext/>
      <w:spacing w:before="240" w:after="60"/>
      <w:outlineLvl w:val="2"/>
    </w:pPr>
    <w:rPr>
      <w:sz w:val="24"/>
    </w:rPr>
  </w:style>
  <w:style w:type="paragraph" w:styleId="Heading4">
    <w:name w:val="heading 4"/>
    <w:basedOn w:val="Normal"/>
    <w:next w:val="Normal"/>
    <w:qFormat/>
    <w:rsid w:val="00281BEB"/>
    <w:pPr>
      <w:keepNext/>
      <w:jc w:val="center"/>
      <w:outlineLvl w:val="3"/>
    </w:pPr>
    <w:rPr>
      <w:b/>
      <w:sz w:val="24"/>
    </w:rPr>
  </w:style>
  <w:style w:type="paragraph" w:styleId="Heading5">
    <w:name w:val="heading 5"/>
    <w:basedOn w:val="Normal"/>
    <w:next w:val="Normal"/>
    <w:qFormat/>
    <w:rsid w:val="00281BEB"/>
    <w:pPr>
      <w:keepNext/>
      <w:jc w:val="center"/>
      <w:outlineLvl w:val="4"/>
    </w:pPr>
    <w:rPr>
      <w:i/>
      <w:sz w:val="24"/>
    </w:rPr>
  </w:style>
  <w:style w:type="paragraph" w:styleId="Heading6">
    <w:name w:val="heading 6"/>
    <w:basedOn w:val="Normal"/>
    <w:next w:val="Normal"/>
    <w:qFormat/>
    <w:rsid w:val="00281BEB"/>
    <w:pPr>
      <w:keepNext/>
      <w:jc w:val="left"/>
      <w:outlineLvl w:val="5"/>
    </w:pPr>
    <w:rPr>
      <w:b/>
      <w:snapToGrid w:val="0"/>
      <w:color w:val="0000FF"/>
      <w:sz w:val="22"/>
    </w:rPr>
  </w:style>
  <w:style w:type="paragraph" w:styleId="Heading7">
    <w:name w:val="heading 7"/>
    <w:basedOn w:val="Normal"/>
    <w:next w:val="Normal"/>
    <w:qFormat/>
    <w:rsid w:val="00281BEB"/>
    <w:pPr>
      <w:keepNext/>
      <w:spacing w:after="120"/>
      <w:jc w:val="center"/>
      <w:outlineLvl w:val="6"/>
    </w:pPr>
    <w:rPr>
      <w:b/>
      <w:i/>
      <w:color w:val="000000"/>
      <w:sz w:val="22"/>
    </w:rPr>
  </w:style>
  <w:style w:type="paragraph" w:styleId="Heading8">
    <w:name w:val="heading 8"/>
    <w:basedOn w:val="Normal"/>
    <w:next w:val="Normal"/>
    <w:qFormat/>
    <w:rsid w:val="00281BEB"/>
    <w:pPr>
      <w:keepNext/>
      <w:jc w:val="left"/>
      <w:outlineLvl w:val="7"/>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BEB"/>
    <w:pPr>
      <w:tabs>
        <w:tab w:val="center" w:pos="4320"/>
        <w:tab w:val="right" w:pos="8640"/>
      </w:tabs>
    </w:pPr>
  </w:style>
  <w:style w:type="paragraph" w:styleId="Footer">
    <w:name w:val="footer"/>
    <w:basedOn w:val="Normal"/>
    <w:rsid w:val="00281BEB"/>
    <w:pPr>
      <w:tabs>
        <w:tab w:val="center" w:pos="4320"/>
        <w:tab w:val="right" w:pos="8640"/>
      </w:tabs>
    </w:pPr>
  </w:style>
  <w:style w:type="paragraph" w:customStyle="1" w:styleId="Text">
    <w:name w:val="_Text"/>
    <w:basedOn w:val="Normal"/>
    <w:rsid w:val="00281BEB"/>
  </w:style>
  <w:style w:type="character" w:styleId="PageNumber">
    <w:name w:val="page number"/>
    <w:basedOn w:val="DefaultParagraphFont"/>
    <w:rsid w:val="00281BEB"/>
  </w:style>
  <w:style w:type="paragraph" w:customStyle="1" w:styleId="xFtrLogo">
    <w:name w:val="x_FtrLogo"/>
    <w:basedOn w:val="Normal"/>
    <w:rsid w:val="00281BEB"/>
    <w:pPr>
      <w:spacing w:before="60"/>
    </w:pPr>
  </w:style>
  <w:style w:type="paragraph" w:customStyle="1" w:styleId="xHdrLogo">
    <w:name w:val="x_HdrLogo"/>
    <w:basedOn w:val="Normal"/>
    <w:rsid w:val="00281BEB"/>
    <w:pPr>
      <w:spacing w:before="120"/>
    </w:pPr>
  </w:style>
  <w:style w:type="paragraph" w:customStyle="1" w:styleId="xHdrServiceName">
    <w:name w:val="x_HdrServiceName"/>
    <w:basedOn w:val="Normal"/>
    <w:rsid w:val="00281BEB"/>
    <w:pPr>
      <w:spacing w:before="120"/>
      <w:ind w:left="216"/>
      <w:jc w:val="right"/>
    </w:pPr>
    <w:rPr>
      <w:b/>
      <w:sz w:val="28"/>
    </w:rPr>
  </w:style>
  <w:style w:type="paragraph" w:customStyle="1" w:styleId="Date1">
    <w:name w:val="Date1"/>
    <w:basedOn w:val="Heading3"/>
    <w:rsid w:val="00281BEB"/>
    <w:pPr>
      <w:keepNext w:val="0"/>
      <w:spacing w:before="40" w:after="20"/>
      <w:ind w:right="57"/>
      <w:jc w:val="right"/>
      <w:outlineLvl w:val="9"/>
    </w:pPr>
    <w:rPr>
      <w:b/>
      <w:i/>
      <w:sz w:val="18"/>
    </w:rPr>
  </w:style>
  <w:style w:type="paragraph" w:customStyle="1" w:styleId="Subtitle">
    <w:name w:val="_Subtitle"/>
    <w:basedOn w:val="Normal"/>
    <w:next w:val="Normal"/>
    <w:rsid w:val="00281BEB"/>
    <w:pPr>
      <w:jc w:val="center"/>
    </w:pPr>
    <w:rPr>
      <w:b/>
      <w:sz w:val="22"/>
    </w:rPr>
  </w:style>
  <w:style w:type="paragraph" w:customStyle="1" w:styleId="HeadingJustified">
    <w:name w:val="_HeadingJustified"/>
    <w:basedOn w:val="Normal"/>
    <w:next w:val="Normal"/>
    <w:rsid w:val="00281BEB"/>
    <w:rPr>
      <w:b/>
    </w:rPr>
  </w:style>
  <w:style w:type="paragraph" w:styleId="BodyText2">
    <w:name w:val="Body Text 2"/>
    <w:basedOn w:val="Normal"/>
    <w:rsid w:val="00281BEB"/>
    <w:pPr>
      <w:widowControl w:val="0"/>
      <w:ind w:right="842"/>
    </w:pPr>
    <w:rPr>
      <w:rFonts w:ascii="Bookman Old Style" w:hAnsi="Bookman Old Style"/>
    </w:rPr>
  </w:style>
  <w:style w:type="paragraph" w:customStyle="1" w:styleId="TextJustified">
    <w:name w:val="_TextJustified"/>
    <w:basedOn w:val="Normal"/>
    <w:rsid w:val="00281BEB"/>
    <w:pPr>
      <w:ind w:right="1080"/>
    </w:pPr>
  </w:style>
  <w:style w:type="paragraph" w:customStyle="1" w:styleId="Title">
    <w:name w:val="_Title"/>
    <w:basedOn w:val="Heading1"/>
    <w:rsid w:val="00281BEB"/>
    <w:pPr>
      <w:spacing w:before="60" w:after="360"/>
      <w:jc w:val="center"/>
      <w:outlineLvl w:val="9"/>
    </w:pPr>
  </w:style>
  <w:style w:type="paragraph" w:styleId="BodyText">
    <w:name w:val="Body Text"/>
    <w:basedOn w:val="Normal"/>
    <w:rsid w:val="00281BEB"/>
    <w:pPr>
      <w:widowControl w:val="0"/>
      <w:spacing w:after="120" w:line="360" w:lineRule="auto"/>
      <w:jc w:val="left"/>
    </w:pPr>
    <w:rPr>
      <w:snapToGrid w:val="0"/>
      <w:sz w:val="22"/>
    </w:rPr>
  </w:style>
  <w:style w:type="character" w:styleId="Hyperlink">
    <w:name w:val="Hyperlink"/>
    <w:basedOn w:val="DefaultParagraphFont"/>
    <w:rsid w:val="00281BEB"/>
    <w:rPr>
      <w:color w:val="0000FF"/>
      <w:u w:val="single"/>
    </w:rPr>
  </w:style>
  <w:style w:type="paragraph" w:styleId="Title0">
    <w:name w:val="Title"/>
    <w:basedOn w:val="Normal"/>
    <w:qFormat/>
    <w:rsid w:val="00281BEB"/>
    <w:pPr>
      <w:jc w:val="center"/>
    </w:pPr>
    <w:rPr>
      <w:rFonts w:ascii="Times New Roman" w:hAnsi="Times New Roman"/>
      <w:b/>
      <w:sz w:val="28"/>
    </w:rPr>
  </w:style>
  <w:style w:type="paragraph" w:styleId="BodyText3">
    <w:name w:val="Body Text 3"/>
    <w:basedOn w:val="Normal"/>
    <w:rsid w:val="00281BEB"/>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281BEB"/>
    <w:pPr>
      <w:widowControl w:val="0"/>
      <w:tabs>
        <w:tab w:val="right" w:pos="9180"/>
      </w:tabs>
      <w:jc w:val="left"/>
    </w:pPr>
    <w:rPr>
      <w:rFonts w:ascii="Palatino" w:hAnsi="Palatino"/>
      <w:sz w:val="22"/>
    </w:rPr>
  </w:style>
  <w:style w:type="character" w:styleId="FollowedHyperlink">
    <w:name w:val="FollowedHyperlink"/>
    <w:basedOn w:val="DefaultParagraphFont"/>
    <w:rsid w:val="00281BEB"/>
    <w:rPr>
      <w:color w:val="800080"/>
      <w:u w:val="single"/>
    </w:rPr>
  </w:style>
  <w:style w:type="paragraph" w:customStyle="1" w:styleId="bullet1">
    <w:name w:val="bullet 1"/>
    <w:basedOn w:val="Normal"/>
    <w:rsid w:val="00281BEB"/>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281BEB"/>
    <w:pPr>
      <w:keepNext/>
      <w:spacing w:before="60" w:line="200" w:lineRule="atLeast"/>
      <w:jc w:val="right"/>
    </w:pPr>
    <w:rPr>
      <w:rFonts w:ascii="Palatino" w:hAnsi="Palatino"/>
      <w:b/>
      <w:sz w:val="16"/>
    </w:rPr>
  </w:style>
  <w:style w:type="paragraph" w:customStyle="1" w:styleId="cellbodyL">
    <w:name w:val="cellbodyL"/>
    <w:basedOn w:val="Normal"/>
    <w:rsid w:val="00281BEB"/>
    <w:pPr>
      <w:keepNext/>
      <w:spacing w:before="60" w:line="200" w:lineRule="atLeast"/>
      <w:jc w:val="left"/>
    </w:pPr>
    <w:rPr>
      <w:rFonts w:ascii="Palatino" w:hAnsi="Palatino"/>
      <w:sz w:val="16"/>
    </w:rPr>
  </w:style>
  <w:style w:type="paragraph" w:customStyle="1" w:styleId="1tabletitle">
    <w:name w:val="1table_title"/>
    <w:basedOn w:val="Normal"/>
    <w:rsid w:val="00281BEB"/>
    <w:pPr>
      <w:keepNext/>
      <w:spacing w:after="60" w:line="200" w:lineRule="atLeast"/>
      <w:jc w:val="left"/>
    </w:pPr>
    <w:rPr>
      <w:rFonts w:ascii="Palatino" w:hAnsi="Palatino"/>
      <w:b/>
      <w:sz w:val="24"/>
    </w:rPr>
  </w:style>
  <w:style w:type="paragraph" w:customStyle="1" w:styleId="TableFootnote">
    <w:name w:val="TableFootnote"/>
    <w:basedOn w:val="Normal"/>
    <w:next w:val="Normal"/>
    <w:rsid w:val="00281BEB"/>
    <w:pPr>
      <w:spacing w:after="360" w:line="200" w:lineRule="atLeast"/>
      <w:jc w:val="left"/>
    </w:pPr>
    <w:rPr>
      <w:rFonts w:ascii="Helvetica" w:hAnsi="Helvetica"/>
      <w:sz w:val="16"/>
    </w:rPr>
  </w:style>
  <w:style w:type="paragraph" w:styleId="BalloonText">
    <w:name w:val="Balloon Text"/>
    <w:basedOn w:val="Normal"/>
    <w:semiHidden/>
    <w:rsid w:val="00281BEB"/>
    <w:rPr>
      <w:rFonts w:ascii="Tahoma" w:hAnsi="Tahoma" w:cs="Tahoma"/>
      <w:sz w:val="16"/>
      <w:szCs w:val="16"/>
    </w:rPr>
  </w:style>
  <w:style w:type="paragraph" w:customStyle="1" w:styleId="cellbodyR">
    <w:name w:val="cellbodyR"/>
    <w:basedOn w:val="cellbodyL"/>
    <w:rsid w:val="00281BEB"/>
    <w:pPr>
      <w:jc w:val="right"/>
    </w:pPr>
    <w:rPr>
      <w:lang w:eastAsia="ko-KR"/>
    </w:rPr>
  </w:style>
  <w:style w:type="paragraph" w:styleId="NormalWeb">
    <w:name w:val="Normal (Web)"/>
    <w:basedOn w:val="Normal"/>
    <w:rsid w:val="00646974"/>
    <w:pPr>
      <w:spacing w:before="100" w:beforeAutospacing="1" w:after="100" w:afterAutospacing="1"/>
      <w:jc w:val="left"/>
    </w:pPr>
    <w:rPr>
      <w:rFonts w:ascii="Times New Roman" w:hAnsi="Times New Roman"/>
      <w:sz w:val="24"/>
      <w:szCs w:val="24"/>
    </w:rPr>
  </w:style>
  <w:style w:type="character" w:customStyle="1" w:styleId="EmailStyle421">
    <w:name w:val="EmailStyle421"/>
    <w:basedOn w:val="DefaultParagraphFont"/>
    <w:semiHidden/>
    <w:rsid w:val="005F7544"/>
    <w:rPr>
      <w:rFonts w:ascii="Comic Sans MS" w:hAnsi="Comic Sans MS"/>
      <w:b w:val="0"/>
      <w:bCs w:val="0"/>
      <w:i w:val="0"/>
      <w:iCs w:val="0"/>
      <w:strike w:val="0"/>
      <w:color w:val="0000FF"/>
      <w:sz w:val="20"/>
      <w:szCs w:val="20"/>
      <w:u w:val="none"/>
    </w:rPr>
  </w:style>
  <w:style w:type="paragraph" w:styleId="DocumentMap">
    <w:name w:val="Document Map"/>
    <w:basedOn w:val="Normal"/>
    <w:semiHidden/>
    <w:rsid w:val="00F60A0D"/>
    <w:pPr>
      <w:shd w:val="clear" w:color="auto" w:fill="000080"/>
    </w:pPr>
    <w:rPr>
      <w:rFonts w:ascii="Tahoma" w:hAnsi="Tahoma" w:cs="Tahoma"/>
    </w:rPr>
  </w:style>
  <w:style w:type="character" w:styleId="CommentReference">
    <w:name w:val="annotation reference"/>
    <w:basedOn w:val="DefaultParagraphFont"/>
    <w:rsid w:val="00CD2627"/>
    <w:rPr>
      <w:sz w:val="16"/>
      <w:szCs w:val="16"/>
    </w:rPr>
  </w:style>
  <w:style w:type="paragraph" w:styleId="CommentText">
    <w:name w:val="annotation text"/>
    <w:basedOn w:val="Normal"/>
    <w:link w:val="CommentTextChar"/>
    <w:rsid w:val="00CD2627"/>
  </w:style>
  <w:style w:type="character" w:customStyle="1" w:styleId="CommentTextChar">
    <w:name w:val="Comment Text Char"/>
    <w:basedOn w:val="DefaultParagraphFont"/>
    <w:link w:val="CommentText"/>
    <w:rsid w:val="00CD2627"/>
    <w:rPr>
      <w:rFonts w:ascii="Arial" w:hAnsi="Arial"/>
    </w:rPr>
  </w:style>
  <w:style w:type="paragraph" w:styleId="CommentSubject">
    <w:name w:val="annotation subject"/>
    <w:basedOn w:val="CommentText"/>
    <w:next w:val="CommentText"/>
    <w:link w:val="CommentSubjectChar"/>
    <w:rsid w:val="00CD2627"/>
    <w:rPr>
      <w:b/>
      <w:bCs/>
    </w:rPr>
  </w:style>
  <w:style w:type="character" w:customStyle="1" w:styleId="CommentSubjectChar">
    <w:name w:val="Comment Subject Char"/>
    <w:basedOn w:val="CommentTextChar"/>
    <w:link w:val="CommentSubject"/>
    <w:rsid w:val="00CD2627"/>
    <w:rPr>
      <w:rFonts w:ascii="Arial" w:hAnsi="Arial"/>
      <w:b/>
      <w:bCs/>
    </w:rPr>
  </w:style>
</w:styles>
</file>

<file path=word/webSettings.xml><?xml version="1.0" encoding="utf-8"?>
<w:webSettings xmlns:r="http://schemas.openxmlformats.org/officeDocument/2006/relationships" xmlns:w="http://schemas.openxmlformats.org/wordprocessingml/2006/main">
  <w:divs>
    <w:div w:id="655688265">
      <w:bodyDiv w:val="1"/>
      <w:marLeft w:val="0"/>
      <w:marRight w:val="0"/>
      <w:marTop w:val="0"/>
      <w:marBottom w:val="0"/>
      <w:divBdr>
        <w:top w:val="none" w:sz="0" w:space="0" w:color="auto"/>
        <w:left w:val="none" w:sz="0" w:space="0" w:color="auto"/>
        <w:bottom w:val="none" w:sz="0" w:space="0" w:color="auto"/>
        <w:right w:val="none" w:sz="0" w:space="0" w:color="auto"/>
      </w:divBdr>
    </w:div>
    <w:div w:id="770053353">
      <w:bodyDiv w:val="1"/>
      <w:marLeft w:val="0"/>
      <w:marRight w:val="0"/>
      <w:marTop w:val="0"/>
      <w:marBottom w:val="0"/>
      <w:divBdr>
        <w:top w:val="none" w:sz="0" w:space="0" w:color="auto"/>
        <w:left w:val="none" w:sz="0" w:space="0" w:color="auto"/>
        <w:bottom w:val="none" w:sz="0" w:space="0" w:color="auto"/>
        <w:right w:val="none" w:sz="0" w:space="0" w:color="auto"/>
      </w:divBdr>
    </w:div>
    <w:div w:id="842550912">
      <w:bodyDiv w:val="1"/>
      <w:marLeft w:val="0"/>
      <w:marRight w:val="0"/>
      <w:marTop w:val="0"/>
      <w:marBottom w:val="0"/>
      <w:divBdr>
        <w:top w:val="none" w:sz="0" w:space="0" w:color="auto"/>
        <w:left w:val="none" w:sz="0" w:space="0" w:color="auto"/>
        <w:bottom w:val="none" w:sz="0" w:space="0" w:color="auto"/>
        <w:right w:val="none" w:sz="0" w:space="0" w:color="auto"/>
      </w:divBdr>
    </w:div>
    <w:div w:id="1148865735">
      <w:bodyDiv w:val="1"/>
      <w:marLeft w:val="0"/>
      <w:marRight w:val="0"/>
      <w:marTop w:val="0"/>
      <w:marBottom w:val="0"/>
      <w:divBdr>
        <w:top w:val="none" w:sz="0" w:space="0" w:color="auto"/>
        <w:left w:val="none" w:sz="0" w:space="0" w:color="auto"/>
        <w:bottom w:val="none" w:sz="0" w:space="0" w:color="auto"/>
        <w:right w:val="none" w:sz="0" w:space="0" w:color="auto"/>
      </w:divBdr>
    </w:div>
    <w:div w:id="1291204110">
      <w:bodyDiv w:val="1"/>
      <w:marLeft w:val="0"/>
      <w:marRight w:val="0"/>
      <w:marTop w:val="0"/>
      <w:marBottom w:val="0"/>
      <w:divBdr>
        <w:top w:val="none" w:sz="0" w:space="0" w:color="auto"/>
        <w:left w:val="none" w:sz="0" w:space="0" w:color="auto"/>
        <w:bottom w:val="none" w:sz="0" w:space="0" w:color="auto"/>
        <w:right w:val="none" w:sz="0" w:space="0" w:color="auto"/>
      </w:divBdr>
      <w:divsChild>
        <w:div w:id="510991850">
          <w:marLeft w:val="0"/>
          <w:marRight w:val="0"/>
          <w:marTop w:val="0"/>
          <w:marBottom w:val="0"/>
          <w:divBdr>
            <w:top w:val="none" w:sz="0" w:space="0" w:color="auto"/>
            <w:left w:val="none" w:sz="0" w:space="0" w:color="auto"/>
            <w:bottom w:val="none" w:sz="0" w:space="0" w:color="auto"/>
            <w:right w:val="none" w:sz="0" w:space="0" w:color="auto"/>
          </w:divBdr>
        </w:div>
        <w:div w:id="775102689">
          <w:marLeft w:val="0"/>
          <w:marRight w:val="0"/>
          <w:marTop w:val="0"/>
          <w:marBottom w:val="0"/>
          <w:divBdr>
            <w:top w:val="none" w:sz="0" w:space="0" w:color="auto"/>
            <w:left w:val="none" w:sz="0" w:space="0" w:color="auto"/>
            <w:bottom w:val="none" w:sz="0" w:space="0" w:color="auto"/>
            <w:right w:val="none" w:sz="0" w:space="0" w:color="auto"/>
          </w:divBdr>
        </w:div>
        <w:div w:id="776172790">
          <w:marLeft w:val="0"/>
          <w:marRight w:val="0"/>
          <w:marTop w:val="0"/>
          <w:marBottom w:val="0"/>
          <w:divBdr>
            <w:top w:val="none" w:sz="0" w:space="0" w:color="auto"/>
            <w:left w:val="none" w:sz="0" w:space="0" w:color="auto"/>
            <w:bottom w:val="none" w:sz="0" w:space="0" w:color="auto"/>
            <w:right w:val="none" w:sz="0" w:space="0" w:color="auto"/>
          </w:divBdr>
        </w:div>
        <w:div w:id="1036588592">
          <w:marLeft w:val="0"/>
          <w:marRight w:val="0"/>
          <w:marTop w:val="0"/>
          <w:marBottom w:val="0"/>
          <w:divBdr>
            <w:top w:val="none" w:sz="0" w:space="0" w:color="auto"/>
            <w:left w:val="none" w:sz="0" w:space="0" w:color="auto"/>
            <w:bottom w:val="none" w:sz="0" w:space="0" w:color="auto"/>
            <w:right w:val="none" w:sz="0" w:space="0" w:color="auto"/>
          </w:divBdr>
        </w:div>
        <w:div w:id="1199582272">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
      </w:divsChild>
    </w:div>
    <w:div w:id="1347252043">
      <w:bodyDiv w:val="1"/>
      <w:marLeft w:val="0"/>
      <w:marRight w:val="0"/>
      <w:marTop w:val="0"/>
      <w:marBottom w:val="0"/>
      <w:divBdr>
        <w:top w:val="none" w:sz="0" w:space="0" w:color="auto"/>
        <w:left w:val="none" w:sz="0" w:space="0" w:color="auto"/>
        <w:bottom w:val="none" w:sz="0" w:space="0" w:color="auto"/>
        <w:right w:val="none" w:sz="0" w:space="0" w:color="auto"/>
      </w:divBdr>
      <w:divsChild>
        <w:div w:id="390272243">
          <w:marLeft w:val="0"/>
          <w:marRight w:val="0"/>
          <w:marTop w:val="0"/>
          <w:marBottom w:val="0"/>
          <w:divBdr>
            <w:top w:val="none" w:sz="0" w:space="0" w:color="auto"/>
            <w:left w:val="none" w:sz="0" w:space="0" w:color="auto"/>
            <w:bottom w:val="none" w:sz="0" w:space="0" w:color="auto"/>
            <w:right w:val="none" w:sz="0" w:space="0" w:color="auto"/>
          </w:divBdr>
        </w:div>
        <w:div w:id="594022705">
          <w:marLeft w:val="0"/>
          <w:marRight w:val="0"/>
          <w:marTop w:val="0"/>
          <w:marBottom w:val="0"/>
          <w:divBdr>
            <w:top w:val="none" w:sz="0" w:space="0" w:color="auto"/>
            <w:left w:val="none" w:sz="0" w:space="0" w:color="auto"/>
            <w:bottom w:val="none" w:sz="0" w:space="0" w:color="auto"/>
            <w:right w:val="none" w:sz="0" w:space="0" w:color="auto"/>
          </w:divBdr>
        </w:div>
        <w:div w:id="688406740">
          <w:marLeft w:val="0"/>
          <w:marRight w:val="0"/>
          <w:marTop w:val="0"/>
          <w:marBottom w:val="0"/>
          <w:divBdr>
            <w:top w:val="none" w:sz="0" w:space="0" w:color="auto"/>
            <w:left w:val="none" w:sz="0" w:space="0" w:color="auto"/>
            <w:bottom w:val="none" w:sz="0" w:space="0" w:color="auto"/>
            <w:right w:val="none" w:sz="0" w:space="0" w:color="auto"/>
          </w:divBdr>
        </w:div>
        <w:div w:id="1005985309">
          <w:marLeft w:val="0"/>
          <w:marRight w:val="0"/>
          <w:marTop w:val="0"/>
          <w:marBottom w:val="0"/>
          <w:divBdr>
            <w:top w:val="none" w:sz="0" w:space="0" w:color="auto"/>
            <w:left w:val="none" w:sz="0" w:space="0" w:color="auto"/>
            <w:bottom w:val="none" w:sz="0" w:space="0" w:color="auto"/>
            <w:right w:val="none" w:sz="0" w:space="0" w:color="auto"/>
          </w:divBdr>
        </w:div>
        <w:div w:id="1837576502">
          <w:marLeft w:val="0"/>
          <w:marRight w:val="0"/>
          <w:marTop w:val="0"/>
          <w:marBottom w:val="0"/>
          <w:divBdr>
            <w:top w:val="none" w:sz="0" w:space="0" w:color="auto"/>
            <w:left w:val="none" w:sz="0" w:space="0" w:color="auto"/>
            <w:bottom w:val="none" w:sz="0" w:space="0" w:color="auto"/>
            <w:right w:val="none" w:sz="0" w:space="0" w:color="auto"/>
          </w:divBdr>
        </w:div>
        <w:div w:id="2097751697">
          <w:marLeft w:val="0"/>
          <w:marRight w:val="0"/>
          <w:marTop w:val="0"/>
          <w:marBottom w:val="0"/>
          <w:divBdr>
            <w:top w:val="none" w:sz="0" w:space="0" w:color="auto"/>
            <w:left w:val="none" w:sz="0" w:space="0" w:color="auto"/>
            <w:bottom w:val="none" w:sz="0" w:space="0" w:color="auto"/>
            <w:right w:val="none" w:sz="0" w:space="0" w:color="auto"/>
          </w:divBdr>
        </w:div>
      </w:divsChild>
    </w:div>
    <w:div w:id="1420558386">
      <w:bodyDiv w:val="1"/>
      <w:marLeft w:val="0"/>
      <w:marRight w:val="0"/>
      <w:marTop w:val="0"/>
      <w:marBottom w:val="0"/>
      <w:divBdr>
        <w:top w:val="none" w:sz="0" w:space="0" w:color="auto"/>
        <w:left w:val="none" w:sz="0" w:space="0" w:color="auto"/>
        <w:bottom w:val="none" w:sz="0" w:space="0" w:color="auto"/>
        <w:right w:val="none" w:sz="0" w:space="0" w:color="auto"/>
      </w:divBdr>
      <w:divsChild>
        <w:div w:id="971254646">
          <w:marLeft w:val="0"/>
          <w:marRight w:val="0"/>
          <w:marTop w:val="0"/>
          <w:marBottom w:val="0"/>
          <w:divBdr>
            <w:top w:val="none" w:sz="0" w:space="0" w:color="auto"/>
            <w:left w:val="none" w:sz="0" w:space="0" w:color="auto"/>
            <w:bottom w:val="none" w:sz="0" w:space="0" w:color="auto"/>
            <w:right w:val="none" w:sz="0" w:space="0" w:color="auto"/>
          </w:divBdr>
        </w:div>
      </w:divsChild>
    </w:div>
    <w:div w:id="1426805943">
      <w:bodyDiv w:val="1"/>
      <w:marLeft w:val="0"/>
      <w:marRight w:val="0"/>
      <w:marTop w:val="0"/>
      <w:marBottom w:val="0"/>
      <w:divBdr>
        <w:top w:val="none" w:sz="0" w:space="0" w:color="auto"/>
        <w:left w:val="none" w:sz="0" w:space="0" w:color="auto"/>
        <w:bottom w:val="none" w:sz="0" w:space="0" w:color="auto"/>
        <w:right w:val="none" w:sz="0" w:space="0" w:color="auto"/>
      </w:divBdr>
    </w:div>
    <w:div w:id="1510828033">
      <w:bodyDiv w:val="1"/>
      <w:marLeft w:val="0"/>
      <w:marRight w:val="0"/>
      <w:marTop w:val="0"/>
      <w:marBottom w:val="0"/>
      <w:divBdr>
        <w:top w:val="none" w:sz="0" w:space="0" w:color="auto"/>
        <w:left w:val="none" w:sz="0" w:space="0" w:color="auto"/>
        <w:bottom w:val="none" w:sz="0" w:space="0" w:color="auto"/>
        <w:right w:val="none" w:sz="0" w:space="0" w:color="auto"/>
      </w:divBdr>
    </w:div>
    <w:div w:id="1861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sa.rivera@gartner.com"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tner.com/technology/home.jsp" TargetMode="External"/><Relationship Id="rId4" Type="http://schemas.openxmlformats.org/officeDocument/2006/relationships/settings" Target="settings.xml"/><Relationship Id="rId9" Type="http://schemas.openxmlformats.org/officeDocument/2006/relationships/hyperlink" Target="mailto:rob.vandermeulen@gartn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C670-2040-47F3-8DAC-B40AE513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0</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8675</CharactersWithSpaces>
  <SharedDoc>false</SharedDoc>
  <HLinks>
    <vt:vector size="6" baseType="variant">
      <vt:variant>
        <vt:i4>2883681</vt:i4>
      </vt:variant>
      <vt:variant>
        <vt:i4>0</vt:i4>
      </vt:variant>
      <vt:variant>
        <vt:i4>0</vt:i4>
      </vt:variant>
      <vt:variant>
        <vt:i4>5</vt:i4>
      </vt:variant>
      <vt:variant>
        <vt:lpwstr>http://www.gartner.com/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2</cp:revision>
  <cp:lastPrinted>2006-02-21T20:10:00Z</cp:lastPrinted>
  <dcterms:created xsi:type="dcterms:W3CDTF">2014-05-28T13:07:00Z</dcterms:created>
  <dcterms:modified xsi:type="dcterms:W3CDTF">2014-05-28T13:07:00Z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