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9DA" w:rsidRPr="00953A37" w:rsidRDefault="007E59DA" w:rsidP="00945A22">
      <w:pPr>
        <w:pStyle w:val="contact"/>
        <w:widowControl/>
        <w:tabs>
          <w:tab w:val="clear" w:pos="9180"/>
        </w:tabs>
        <w:rPr>
          <w:rFonts w:ascii="Arial" w:hAnsi="Arial"/>
        </w:rPr>
      </w:pPr>
    </w:p>
    <w:p w:rsidR="00945A22" w:rsidRPr="00953A37" w:rsidRDefault="00945A22" w:rsidP="00945A22">
      <w:pPr>
        <w:pStyle w:val="contact"/>
        <w:widowControl/>
        <w:tabs>
          <w:tab w:val="clear" w:pos="9180"/>
        </w:tabs>
        <w:rPr>
          <w:rFonts w:ascii="Arial" w:hAnsi="Arial"/>
        </w:rPr>
      </w:pPr>
      <w:r w:rsidRPr="00953A37">
        <w:rPr>
          <w:rFonts w:ascii="Arial" w:hAnsi="Arial"/>
        </w:rPr>
        <w:t>FOR IMMEDIATE RELEASE</w:t>
      </w:r>
    </w:p>
    <w:p w:rsidR="00945A22" w:rsidRPr="00953A37" w:rsidRDefault="00945A22" w:rsidP="00945A22">
      <w:pPr>
        <w:jc w:val="left"/>
        <w:rPr>
          <w:sz w:val="22"/>
        </w:rPr>
      </w:pPr>
    </w:p>
    <w:p w:rsidR="00945A22" w:rsidRPr="00953A37" w:rsidRDefault="00945A22" w:rsidP="00945A22">
      <w:pPr>
        <w:pStyle w:val="contact"/>
        <w:widowControl/>
        <w:tabs>
          <w:tab w:val="clear" w:pos="9180"/>
          <w:tab w:val="right" w:pos="10206"/>
        </w:tabs>
        <w:rPr>
          <w:rFonts w:ascii="Arial" w:hAnsi="Arial"/>
        </w:rPr>
      </w:pPr>
      <w:r w:rsidRPr="00953A37">
        <w:rPr>
          <w:rFonts w:ascii="Arial" w:hAnsi="Arial"/>
        </w:rPr>
        <w:t>Janessa Rivera</w:t>
      </w:r>
      <w:r w:rsidRPr="00953A37">
        <w:rPr>
          <w:rFonts w:ascii="Arial" w:hAnsi="Arial"/>
        </w:rPr>
        <w:tab/>
      </w:r>
      <w:r w:rsidR="00953A37">
        <w:rPr>
          <w:rFonts w:ascii="Arial" w:hAnsi="Arial"/>
        </w:rPr>
        <w:t>Robert van der Meulen</w:t>
      </w:r>
    </w:p>
    <w:p w:rsidR="00945A22" w:rsidRPr="00953A37" w:rsidRDefault="00945A22" w:rsidP="00945A22">
      <w:pPr>
        <w:pStyle w:val="contact"/>
        <w:widowControl/>
        <w:tabs>
          <w:tab w:val="clear" w:pos="9180"/>
          <w:tab w:val="right" w:pos="10206"/>
        </w:tabs>
        <w:rPr>
          <w:rFonts w:ascii="Arial" w:hAnsi="Arial"/>
        </w:rPr>
      </w:pPr>
      <w:r w:rsidRPr="00953A37">
        <w:rPr>
          <w:rFonts w:ascii="Arial" w:hAnsi="Arial"/>
        </w:rPr>
        <w:t>Gartner</w:t>
      </w:r>
      <w:r w:rsidRPr="00953A37">
        <w:rPr>
          <w:rFonts w:ascii="Arial" w:hAnsi="Arial"/>
        </w:rPr>
        <w:tab/>
      </w:r>
      <w:r w:rsidR="00953A37">
        <w:rPr>
          <w:rFonts w:ascii="Arial" w:hAnsi="Arial"/>
        </w:rPr>
        <w:t>Gartner</w:t>
      </w:r>
    </w:p>
    <w:p w:rsidR="00945A22" w:rsidRPr="00953A37" w:rsidRDefault="00945A22" w:rsidP="00945A22">
      <w:pPr>
        <w:pStyle w:val="contact"/>
        <w:widowControl/>
        <w:tabs>
          <w:tab w:val="clear" w:pos="9180"/>
          <w:tab w:val="right" w:pos="10206"/>
        </w:tabs>
        <w:rPr>
          <w:rFonts w:ascii="Arial" w:hAnsi="Arial"/>
        </w:rPr>
      </w:pPr>
      <w:r w:rsidRPr="00953A37">
        <w:rPr>
          <w:rFonts w:ascii="Arial" w:hAnsi="Arial"/>
        </w:rPr>
        <w:t>+ 1 408 709 8220</w:t>
      </w:r>
      <w:r w:rsidRPr="00953A37">
        <w:rPr>
          <w:rFonts w:ascii="Arial" w:hAnsi="Arial"/>
        </w:rPr>
        <w:tab/>
      </w:r>
      <w:r w:rsidR="00953A37">
        <w:rPr>
          <w:rFonts w:ascii="Arial" w:hAnsi="Arial"/>
        </w:rPr>
        <w:t>+44 1784 26 7</w:t>
      </w:r>
      <w:r w:rsidR="00953A37" w:rsidRPr="00953A37">
        <w:rPr>
          <w:rFonts w:ascii="Arial" w:hAnsi="Arial"/>
        </w:rPr>
        <w:t>738</w:t>
      </w:r>
    </w:p>
    <w:p w:rsidR="00945A22" w:rsidRPr="00953A37" w:rsidRDefault="00945A22" w:rsidP="00945A22">
      <w:pPr>
        <w:pStyle w:val="contact"/>
        <w:widowControl/>
        <w:tabs>
          <w:tab w:val="clear" w:pos="9180"/>
          <w:tab w:val="right" w:pos="10206"/>
        </w:tabs>
        <w:spacing w:after="160"/>
        <w:rPr>
          <w:rFonts w:ascii="Arial" w:hAnsi="Arial" w:cs="Arial"/>
        </w:rPr>
      </w:pPr>
      <w:hyperlink r:id="rId8" w:history="1">
        <w:r w:rsidRPr="00953A37">
          <w:rPr>
            <w:rStyle w:val="Hyperlink"/>
            <w:rFonts w:ascii="Arial" w:hAnsi="Arial" w:cs="Arial"/>
          </w:rPr>
          <w:t>janessa.rivera@gartner.com</w:t>
        </w:r>
      </w:hyperlink>
      <w:r w:rsidRPr="00953A37">
        <w:rPr>
          <w:rFonts w:ascii="Arial" w:hAnsi="Arial" w:cs="Arial"/>
        </w:rPr>
        <w:t xml:space="preserve"> </w:t>
      </w:r>
      <w:r w:rsidRPr="00953A37">
        <w:rPr>
          <w:rFonts w:ascii="Arial" w:hAnsi="Arial" w:cs="Arial"/>
        </w:rPr>
        <w:tab/>
      </w:r>
      <w:hyperlink r:id="rId9" w:history="1">
        <w:r w:rsidR="00953A37" w:rsidRPr="00F35553">
          <w:rPr>
            <w:rStyle w:val="Hyperlink"/>
            <w:rFonts w:ascii="Arial" w:hAnsi="Arial" w:cs="Arial"/>
          </w:rPr>
          <w:t>rob.vandermeulen@gartner.com</w:t>
        </w:r>
      </w:hyperlink>
      <w:r w:rsidR="00953A37">
        <w:rPr>
          <w:rFonts w:ascii="Arial" w:hAnsi="Arial" w:cs="Arial"/>
        </w:rPr>
        <w:t xml:space="preserve"> </w:t>
      </w:r>
    </w:p>
    <w:p w:rsidR="00945A22" w:rsidRPr="00953A37" w:rsidRDefault="00945A22" w:rsidP="00945A22">
      <w:pPr>
        <w:spacing w:after="120"/>
        <w:jc w:val="center"/>
        <w:rPr>
          <w:b/>
          <w:color w:val="000000"/>
          <w:sz w:val="24"/>
        </w:rPr>
      </w:pPr>
    </w:p>
    <w:p w:rsidR="00171731" w:rsidRPr="00953A37" w:rsidRDefault="00171731" w:rsidP="00171731">
      <w:pPr>
        <w:spacing w:after="120"/>
        <w:jc w:val="center"/>
        <w:rPr>
          <w:b/>
          <w:sz w:val="24"/>
        </w:rPr>
      </w:pPr>
      <w:r w:rsidRPr="00953A37">
        <w:rPr>
          <w:b/>
          <w:sz w:val="24"/>
        </w:rPr>
        <w:t xml:space="preserve">Gartner Says Worldwide PC Shipments Declined 6.9 </w:t>
      </w:r>
      <w:r w:rsidR="00953A37" w:rsidRPr="00953A37">
        <w:rPr>
          <w:b/>
          <w:sz w:val="24"/>
        </w:rPr>
        <w:t xml:space="preserve">Per </w:t>
      </w:r>
      <w:r w:rsidR="00953A37">
        <w:rPr>
          <w:b/>
          <w:sz w:val="24"/>
        </w:rPr>
        <w:t>C</w:t>
      </w:r>
      <w:r w:rsidR="00953A37" w:rsidRPr="00953A37">
        <w:rPr>
          <w:b/>
          <w:sz w:val="24"/>
        </w:rPr>
        <w:t>ent</w:t>
      </w:r>
      <w:r w:rsidRPr="00953A37">
        <w:rPr>
          <w:b/>
          <w:sz w:val="24"/>
        </w:rPr>
        <w:t xml:space="preserve"> in Fourth Quarter of 2013 </w:t>
      </w:r>
    </w:p>
    <w:p w:rsidR="00171731" w:rsidRPr="00953A37" w:rsidRDefault="00171731" w:rsidP="00171731">
      <w:pPr>
        <w:spacing w:after="120"/>
        <w:jc w:val="center"/>
        <w:rPr>
          <w:b/>
          <w:i/>
          <w:sz w:val="22"/>
          <w:szCs w:val="22"/>
        </w:rPr>
      </w:pPr>
      <w:r w:rsidRPr="00953A37">
        <w:rPr>
          <w:b/>
          <w:i/>
          <w:sz w:val="22"/>
          <w:szCs w:val="22"/>
        </w:rPr>
        <w:t xml:space="preserve">In 2013, Global PC Shipments Suffered the Worst Decline in PC Market History, </w:t>
      </w:r>
      <w:proofErr w:type="gramStart"/>
      <w:r w:rsidRPr="00953A37">
        <w:rPr>
          <w:b/>
          <w:i/>
          <w:sz w:val="22"/>
          <w:szCs w:val="22"/>
        </w:rPr>
        <w:t>But</w:t>
      </w:r>
      <w:proofErr w:type="gramEnd"/>
      <w:r w:rsidRPr="00953A37">
        <w:rPr>
          <w:b/>
          <w:i/>
          <w:sz w:val="22"/>
          <w:szCs w:val="22"/>
        </w:rPr>
        <w:t xml:space="preserve"> Analysts Say Industry Has Bottomed Out</w:t>
      </w:r>
    </w:p>
    <w:p w:rsidR="00171731" w:rsidRPr="00953A37" w:rsidRDefault="00171731" w:rsidP="00171731">
      <w:pPr>
        <w:pStyle w:val="contact"/>
        <w:tabs>
          <w:tab w:val="clear" w:pos="9180"/>
        </w:tabs>
        <w:rPr>
          <w:rFonts w:ascii="Arial" w:hAnsi="Arial" w:cs="Arial"/>
        </w:rPr>
      </w:pPr>
      <w:r w:rsidRPr="00953A37">
        <w:rPr>
          <w:rFonts w:ascii="Arial" w:hAnsi="Arial"/>
        </w:rPr>
        <w:t xml:space="preserve">STAMFORD, Conn., </w:t>
      </w:r>
      <w:r w:rsidR="00953A37">
        <w:rPr>
          <w:rFonts w:ascii="Arial" w:hAnsi="Arial"/>
        </w:rPr>
        <w:t xml:space="preserve">9 </w:t>
      </w:r>
      <w:r w:rsidRPr="00953A37">
        <w:rPr>
          <w:rFonts w:ascii="Arial" w:hAnsi="Arial" w:cs="Arial"/>
        </w:rPr>
        <w:t xml:space="preserve">January, 2014 — Worldwide PC shipments </w:t>
      </w:r>
      <w:r w:rsidR="00953A37">
        <w:rPr>
          <w:rFonts w:ascii="Arial" w:hAnsi="Arial" w:cs="Arial"/>
        </w:rPr>
        <w:t>totalled</w:t>
      </w:r>
      <w:r w:rsidRPr="00953A37">
        <w:rPr>
          <w:rFonts w:ascii="Arial" w:hAnsi="Arial" w:cs="Arial"/>
        </w:rPr>
        <w:t xml:space="preserve"> 82.6 million units in the fourth quarter of 2013, a 6.9 </w:t>
      </w:r>
      <w:r w:rsidR="00953A37" w:rsidRPr="00953A37">
        <w:rPr>
          <w:rFonts w:ascii="Arial" w:hAnsi="Arial" w:cs="Arial"/>
        </w:rPr>
        <w:t>per cent</w:t>
      </w:r>
      <w:r w:rsidRPr="00953A37">
        <w:rPr>
          <w:rFonts w:ascii="Arial" w:hAnsi="Arial" w:cs="Arial"/>
        </w:rPr>
        <w:t xml:space="preserve"> decline from the fourth quarter of 2012, according to preliminary results by Gartner, Inc. This is the seventh consecutive quarter of shipment decline.</w:t>
      </w:r>
    </w:p>
    <w:p w:rsidR="00171731" w:rsidRPr="00953A37" w:rsidRDefault="00171731" w:rsidP="00171731">
      <w:pPr>
        <w:pStyle w:val="contact"/>
        <w:tabs>
          <w:tab w:val="clear" w:pos="9180"/>
        </w:tabs>
        <w:rPr>
          <w:rFonts w:ascii="Arial" w:hAnsi="Arial" w:cs="Arial"/>
        </w:rPr>
      </w:pPr>
    </w:p>
    <w:p w:rsidR="00171731" w:rsidRPr="00953A37" w:rsidRDefault="00171731" w:rsidP="00171731">
      <w:pPr>
        <w:pStyle w:val="contact"/>
        <w:tabs>
          <w:tab w:val="clear" w:pos="9180"/>
        </w:tabs>
        <w:rPr>
          <w:rFonts w:ascii="Arial" w:hAnsi="Arial" w:cs="Arial"/>
        </w:rPr>
      </w:pPr>
      <w:r w:rsidRPr="00953A37">
        <w:rPr>
          <w:rFonts w:ascii="Arial" w:hAnsi="Arial" w:cs="Arial"/>
        </w:rPr>
        <w:t xml:space="preserve">"Although PC shipments continued to decline in the worldwide market in the fourth quarter, we increasingly believe markets, such as the </w:t>
      </w:r>
      <w:r w:rsidR="00953A37">
        <w:rPr>
          <w:rFonts w:ascii="Arial" w:hAnsi="Arial" w:cs="Arial"/>
        </w:rPr>
        <w:t>US</w:t>
      </w:r>
      <w:r w:rsidRPr="00953A37">
        <w:rPr>
          <w:rFonts w:ascii="Arial" w:hAnsi="Arial" w:cs="Arial"/>
        </w:rPr>
        <w:t>, have bottomed out as the adjustment to the installed base slows," said Mikako Kitagawa, principal analyst at Gartner. "Strong growth in tablets continued to negatively impact PC growth in emerging markets. In emerging markets, the first connected device for consumers is most likely a smartphone, and their first computing device is a tablet. As a result, the adoption of PCs in emerging markets will be slower as consumers skip PCs for tablets."</w:t>
      </w:r>
    </w:p>
    <w:p w:rsidR="00171731" w:rsidRPr="00953A37" w:rsidRDefault="00171731" w:rsidP="00171731">
      <w:pPr>
        <w:pStyle w:val="contact"/>
        <w:tabs>
          <w:tab w:val="clear" w:pos="9180"/>
        </w:tabs>
        <w:rPr>
          <w:rFonts w:ascii="Arial" w:hAnsi="Arial" w:cs="Arial"/>
        </w:rPr>
      </w:pPr>
    </w:p>
    <w:p w:rsidR="00171731" w:rsidRPr="00953A37" w:rsidRDefault="00171731" w:rsidP="00171731">
      <w:pPr>
        <w:pStyle w:val="contact"/>
        <w:tabs>
          <w:tab w:val="clear" w:pos="9180"/>
        </w:tabs>
        <w:rPr>
          <w:rFonts w:ascii="Arial" w:hAnsi="Arial" w:cs="Arial"/>
        </w:rPr>
      </w:pPr>
      <w:r w:rsidRPr="00953A37">
        <w:rPr>
          <w:rFonts w:ascii="Arial" w:hAnsi="Arial" w:cs="Arial"/>
        </w:rPr>
        <w:t xml:space="preserve">HP and Lenovo have been virtually neck and neck for the top global position in the PC market throughout 2013. Lenovo took the lead in the fourth quarter, as it did last quarter, accounting for 18.1 </w:t>
      </w:r>
      <w:r w:rsidR="00953A37" w:rsidRPr="00953A37">
        <w:rPr>
          <w:rFonts w:ascii="Arial" w:hAnsi="Arial" w:cs="Arial"/>
        </w:rPr>
        <w:t>per cent</w:t>
      </w:r>
      <w:r w:rsidRPr="00953A37">
        <w:rPr>
          <w:rFonts w:ascii="Arial" w:hAnsi="Arial" w:cs="Arial"/>
        </w:rPr>
        <w:t xml:space="preserve"> of global PC shipments. Lenovo's victory over the top position became apparent in 4Q13. Lenovo showed strong growth in all regions, except Asia/Pacific, where China continued to be a problematic country for the company. HP experienced a shipments decline of 7.2 </w:t>
      </w:r>
      <w:r w:rsidR="00953A37" w:rsidRPr="00953A37">
        <w:rPr>
          <w:rFonts w:ascii="Arial" w:hAnsi="Arial" w:cs="Arial"/>
        </w:rPr>
        <w:t>per cent</w:t>
      </w:r>
      <w:r w:rsidRPr="00953A37">
        <w:rPr>
          <w:rFonts w:ascii="Arial" w:hAnsi="Arial" w:cs="Arial"/>
        </w:rPr>
        <w:t xml:space="preserve"> in the fourth quarter. </w:t>
      </w:r>
      <w:proofErr w:type="gramStart"/>
      <w:r w:rsidR="00953A37">
        <w:rPr>
          <w:rFonts w:ascii="Arial" w:hAnsi="Arial" w:cs="Arial"/>
        </w:rPr>
        <w:t>US</w:t>
      </w:r>
      <w:proofErr w:type="gramEnd"/>
      <w:r w:rsidRPr="00953A37">
        <w:rPr>
          <w:rFonts w:ascii="Arial" w:hAnsi="Arial" w:cs="Arial"/>
        </w:rPr>
        <w:t xml:space="preserve"> and Latin America were two regions where HP could not increase its shipments, and it experienced a steeper decline compared with the regional average (see Table 1).</w:t>
      </w:r>
    </w:p>
    <w:p w:rsidR="00171731" w:rsidRPr="00953A37" w:rsidRDefault="00171731" w:rsidP="00171731">
      <w:pPr>
        <w:pStyle w:val="contact"/>
        <w:tabs>
          <w:tab w:val="clear" w:pos="9180"/>
        </w:tabs>
        <w:rPr>
          <w:rFonts w:ascii="Arial" w:hAnsi="Arial"/>
        </w:rPr>
      </w:pPr>
    </w:p>
    <w:p w:rsidR="00171731" w:rsidRPr="00953A37" w:rsidRDefault="00171731" w:rsidP="00171731">
      <w:pPr>
        <w:jc w:val="left"/>
        <w:rPr>
          <w:b/>
          <w:sz w:val="22"/>
        </w:rPr>
      </w:pPr>
      <w:r w:rsidRPr="00953A37">
        <w:rPr>
          <w:b/>
          <w:sz w:val="22"/>
          <w:szCs w:val="22"/>
        </w:rPr>
        <w:t>Table</w:t>
      </w:r>
      <w:r w:rsidRPr="00953A37">
        <w:rPr>
          <w:b/>
          <w:sz w:val="22"/>
        </w:rPr>
        <w:t xml:space="preserve"> 1</w:t>
      </w:r>
    </w:p>
    <w:p w:rsidR="00171731" w:rsidRPr="00953A37" w:rsidRDefault="00171731" w:rsidP="00171731">
      <w:pPr>
        <w:jc w:val="left"/>
        <w:rPr>
          <w:b/>
          <w:sz w:val="22"/>
        </w:rPr>
      </w:pPr>
      <w:r w:rsidRPr="00953A37">
        <w:rPr>
          <w:b/>
          <w:sz w:val="22"/>
        </w:rPr>
        <w:t>Preliminary Worldwide PC Vendor Unit Shipment Estimates for 4Q13 (Units)</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168"/>
        <w:gridCol w:w="1440"/>
        <w:gridCol w:w="1512"/>
        <w:gridCol w:w="1368"/>
        <w:gridCol w:w="1512"/>
        <w:gridCol w:w="1368"/>
      </w:tblGrid>
      <w:tr w:rsidR="00171731" w:rsidRPr="00953A37" w:rsidTr="00463471">
        <w:tblPrEx>
          <w:tblCellMar>
            <w:top w:w="0" w:type="dxa"/>
            <w:bottom w:w="0" w:type="dxa"/>
          </w:tblCellMar>
        </w:tblPrEx>
        <w:tc>
          <w:tcPr>
            <w:tcW w:w="3168" w:type="dxa"/>
            <w:tcBorders>
              <w:top w:val="single" w:sz="6" w:space="0" w:color="auto"/>
              <w:bottom w:val="single" w:sz="6" w:space="0" w:color="auto"/>
            </w:tcBorders>
          </w:tcPr>
          <w:p w:rsidR="00171731" w:rsidRPr="00953A37" w:rsidRDefault="00171731" w:rsidP="00463471">
            <w:pPr>
              <w:pStyle w:val="HeadingJustified"/>
              <w:tabs>
                <w:tab w:val="decimal" w:pos="990"/>
                <w:tab w:val="decimal" w:pos="2070"/>
                <w:tab w:val="left" w:pos="2880"/>
                <w:tab w:val="decimal" w:pos="4140"/>
                <w:tab w:val="decimal" w:pos="4860"/>
                <w:tab w:val="decimal" w:pos="7020"/>
                <w:tab w:val="decimal" w:pos="7110"/>
              </w:tabs>
            </w:pPr>
            <w:r w:rsidRPr="00953A37">
              <w:rPr>
                <w:b w:val="0"/>
              </w:rPr>
              <w:br/>
            </w:r>
            <w:r w:rsidRPr="00953A37">
              <w:t>Company</w:t>
            </w:r>
          </w:p>
        </w:tc>
        <w:tc>
          <w:tcPr>
            <w:tcW w:w="1440" w:type="dxa"/>
            <w:tcBorders>
              <w:top w:val="single" w:sz="6" w:space="0" w:color="auto"/>
              <w:bottom w:val="single" w:sz="6" w:space="0" w:color="auto"/>
            </w:tcBorders>
          </w:tcPr>
          <w:p w:rsidR="00171731" w:rsidRPr="00953A37" w:rsidRDefault="00171731" w:rsidP="00463471">
            <w:pPr>
              <w:tabs>
                <w:tab w:val="decimal" w:pos="990"/>
                <w:tab w:val="decimal" w:pos="2070"/>
                <w:tab w:val="left" w:pos="2880"/>
                <w:tab w:val="decimal" w:pos="4140"/>
                <w:tab w:val="decimal" w:pos="4860"/>
                <w:tab w:val="decimal" w:pos="7020"/>
                <w:tab w:val="decimal" w:pos="7110"/>
              </w:tabs>
              <w:jc w:val="right"/>
              <w:rPr>
                <w:b/>
              </w:rPr>
            </w:pPr>
            <w:r w:rsidRPr="00953A37">
              <w:rPr>
                <w:b/>
              </w:rPr>
              <w:t>4Q13 Shipments</w:t>
            </w:r>
          </w:p>
        </w:tc>
        <w:tc>
          <w:tcPr>
            <w:tcW w:w="1512" w:type="dxa"/>
            <w:tcBorders>
              <w:top w:val="single" w:sz="6" w:space="0" w:color="auto"/>
              <w:bottom w:val="single" w:sz="6" w:space="0" w:color="auto"/>
            </w:tcBorders>
          </w:tcPr>
          <w:p w:rsidR="00171731" w:rsidRPr="00953A37" w:rsidRDefault="00171731" w:rsidP="00463471">
            <w:pPr>
              <w:tabs>
                <w:tab w:val="decimal" w:pos="990"/>
                <w:tab w:val="decimal" w:pos="2070"/>
                <w:tab w:val="left" w:pos="2880"/>
                <w:tab w:val="decimal" w:pos="4140"/>
                <w:tab w:val="decimal" w:pos="4860"/>
                <w:tab w:val="decimal" w:pos="7020"/>
                <w:tab w:val="decimal" w:pos="7110"/>
              </w:tabs>
              <w:jc w:val="right"/>
              <w:rPr>
                <w:b/>
              </w:rPr>
            </w:pPr>
            <w:r w:rsidRPr="00953A37">
              <w:rPr>
                <w:b/>
              </w:rPr>
              <w:t>4Q13 Market Share (%)</w:t>
            </w:r>
          </w:p>
        </w:tc>
        <w:tc>
          <w:tcPr>
            <w:tcW w:w="1368" w:type="dxa"/>
            <w:tcBorders>
              <w:top w:val="single" w:sz="6" w:space="0" w:color="auto"/>
              <w:bottom w:val="single" w:sz="6" w:space="0" w:color="auto"/>
            </w:tcBorders>
          </w:tcPr>
          <w:p w:rsidR="00171731" w:rsidRPr="00953A37" w:rsidRDefault="00171731" w:rsidP="00463471">
            <w:pPr>
              <w:tabs>
                <w:tab w:val="decimal" w:pos="990"/>
                <w:tab w:val="decimal" w:pos="2070"/>
                <w:tab w:val="left" w:pos="2880"/>
                <w:tab w:val="decimal" w:pos="4140"/>
                <w:tab w:val="decimal" w:pos="4860"/>
                <w:tab w:val="decimal" w:pos="7020"/>
                <w:tab w:val="decimal" w:pos="7110"/>
              </w:tabs>
              <w:jc w:val="right"/>
              <w:rPr>
                <w:b/>
              </w:rPr>
            </w:pPr>
            <w:r w:rsidRPr="00953A37">
              <w:rPr>
                <w:b/>
              </w:rPr>
              <w:t>4Q12 Shipments</w:t>
            </w:r>
          </w:p>
        </w:tc>
        <w:tc>
          <w:tcPr>
            <w:tcW w:w="1512" w:type="dxa"/>
            <w:tcBorders>
              <w:top w:val="single" w:sz="6" w:space="0" w:color="auto"/>
              <w:bottom w:val="single" w:sz="6" w:space="0" w:color="auto"/>
            </w:tcBorders>
          </w:tcPr>
          <w:p w:rsidR="00171731" w:rsidRPr="00953A37" w:rsidRDefault="00171731" w:rsidP="00463471">
            <w:pPr>
              <w:tabs>
                <w:tab w:val="decimal" w:pos="990"/>
                <w:tab w:val="decimal" w:pos="2070"/>
                <w:tab w:val="left" w:pos="2880"/>
                <w:tab w:val="decimal" w:pos="4140"/>
                <w:tab w:val="decimal" w:pos="4860"/>
                <w:tab w:val="decimal" w:pos="7020"/>
                <w:tab w:val="decimal" w:pos="7110"/>
              </w:tabs>
              <w:jc w:val="right"/>
              <w:rPr>
                <w:b/>
              </w:rPr>
            </w:pPr>
            <w:r w:rsidRPr="00953A37">
              <w:rPr>
                <w:b/>
              </w:rPr>
              <w:t>4Q12 Market Share (%)</w:t>
            </w:r>
          </w:p>
        </w:tc>
        <w:tc>
          <w:tcPr>
            <w:tcW w:w="1368" w:type="dxa"/>
            <w:tcBorders>
              <w:top w:val="single" w:sz="6" w:space="0" w:color="auto"/>
              <w:bottom w:val="single" w:sz="6" w:space="0" w:color="auto"/>
            </w:tcBorders>
          </w:tcPr>
          <w:p w:rsidR="00171731" w:rsidRPr="00953A37" w:rsidRDefault="00171731" w:rsidP="00463471">
            <w:pPr>
              <w:tabs>
                <w:tab w:val="decimal" w:pos="990"/>
                <w:tab w:val="decimal" w:pos="2070"/>
                <w:tab w:val="left" w:pos="2880"/>
                <w:tab w:val="decimal" w:pos="4140"/>
                <w:tab w:val="decimal" w:pos="4860"/>
                <w:tab w:val="decimal" w:pos="7020"/>
                <w:tab w:val="decimal" w:pos="7110"/>
              </w:tabs>
              <w:jc w:val="right"/>
              <w:rPr>
                <w:b/>
              </w:rPr>
            </w:pPr>
            <w:r w:rsidRPr="00953A37">
              <w:rPr>
                <w:b/>
              </w:rPr>
              <w:t>4Q13-4Q12 Growth (%)</w:t>
            </w:r>
          </w:p>
        </w:tc>
      </w:tr>
      <w:tr w:rsidR="00171731" w:rsidRPr="00953A37" w:rsidTr="00463471">
        <w:tblPrEx>
          <w:tblCellMar>
            <w:top w:w="0" w:type="dxa"/>
            <w:bottom w:w="0" w:type="dxa"/>
          </w:tblCellMar>
        </w:tblPrEx>
        <w:tc>
          <w:tcPr>
            <w:tcW w:w="3168" w:type="dxa"/>
            <w:vAlign w:val="bottom"/>
          </w:tcPr>
          <w:p w:rsidR="00171731" w:rsidRPr="00953A37" w:rsidRDefault="00171731" w:rsidP="00463471">
            <w:pPr>
              <w:rPr>
                <w:rFonts w:cs="Arial"/>
              </w:rPr>
            </w:pPr>
            <w:r w:rsidRPr="00953A37">
              <w:rPr>
                <w:rFonts w:cs="Arial"/>
              </w:rPr>
              <w:t>Lenovo</w:t>
            </w:r>
          </w:p>
        </w:tc>
        <w:tc>
          <w:tcPr>
            <w:tcW w:w="1440" w:type="dxa"/>
            <w:vAlign w:val="bottom"/>
          </w:tcPr>
          <w:p w:rsidR="00171731" w:rsidRPr="00953A37" w:rsidRDefault="00171731" w:rsidP="00463471">
            <w:pPr>
              <w:jc w:val="right"/>
              <w:rPr>
                <w:rFonts w:cs="Arial"/>
              </w:rPr>
            </w:pPr>
            <w:r w:rsidRPr="00953A37">
              <w:rPr>
                <w:rFonts w:cs="Arial"/>
              </w:rPr>
              <w:t>14,932,408</w:t>
            </w:r>
          </w:p>
        </w:tc>
        <w:tc>
          <w:tcPr>
            <w:tcW w:w="1512" w:type="dxa"/>
            <w:vAlign w:val="bottom"/>
          </w:tcPr>
          <w:p w:rsidR="00171731" w:rsidRPr="00953A37" w:rsidRDefault="00171731" w:rsidP="00463471">
            <w:pPr>
              <w:jc w:val="right"/>
              <w:rPr>
                <w:rFonts w:cs="Arial"/>
              </w:rPr>
            </w:pPr>
            <w:r w:rsidRPr="00953A37">
              <w:rPr>
                <w:rFonts w:cs="Arial"/>
              </w:rPr>
              <w:t>18.1</w:t>
            </w:r>
          </w:p>
        </w:tc>
        <w:tc>
          <w:tcPr>
            <w:tcW w:w="1368" w:type="dxa"/>
            <w:vAlign w:val="bottom"/>
          </w:tcPr>
          <w:p w:rsidR="00171731" w:rsidRPr="00953A37" w:rsidRDefault="00171731" w:rsidP="00463471">
            <w:pPr>
              <w:jc w:val="right"/>
              <w:rPr>
                <w:rFonts w:cs="Arial"/>
              </w:rPr>
            </w:pPr>
            <w:r w:rsidRPr="00953A37">
              <w:rPr>
                <w:rFonts w:cs="Arial"/>
              </w:rPr>
              <w:t>14,005,093</w:t>
            </w:r>
          </w:p>
        </w:tc>
        <w:tc>
          <w:tcPr>
            <w:tcW w:w="1512" w:type="dxa"/>
            <w:vAlign w:val="bottom"/>
          </w:tcPr>
          <w:p w:rsidR="00171731" w:rsidRPr="00953A37" w:rsidRDefault="00171731" w:rsidP="00463471">
            <w:pPr>
              <w:jc w:val="right"/>
              <w:rPr>
                <w:rFonts w:cs="Arial"/>
              </w:rPr>
            </w:pPr>
            <w:r w:rsidRPr="00953A37">
              <w:rPr>
                <w:rFonts w:cs="Arial"/>
              </w:rPr>
              <w:t>15.8</w:t>
            </w:r>
          </w:p>
        </w:tc>
        <w:tc>
          <w:tcPr>
            <w:tcW w:w="1368" w:type="dxa"/>
            <w:vAlign w:val="bottom"/>
          </w:tcPr>
          <w:p w:rsidR="00171731" w:rsidRPr="00953A37" w:rsidRDefault="00171731" w:rsidP="00463471">
            <w:pPr>
              <w:jc w:val="right"/>
              <w:rPr>
                <w:rFonts w:cs="Arial"/>
              </w:rPr>
            </w:pPr>
            <w:r w:rsidRPr="00953A37">
              <w:rPr>
                <w:rFonts w:cs="Arial"/>
              </w:rPr>
              <w:t>6.6</w:t>
            </w:r>
          </w:p>
        </w:tc>
      </w:tr>
      <w:tr w:rsidR="00171731" w:rsidRPr="00953A37" w:rsidTr="00463471">
        <w:tblPrEx>
          <w:tblCellMar>
            <w:top w:w="0" w:type="dxa"/>
            <w:bottom w:w="0" w:type="dxa"/>
          </w:tblCellMar>
        </w:tblPrEx>
        <w:tc>
          <w:tcPr>
            <w:tcW w:w="3168" w:type="dxa"/>
            <w:tcBorders>
              <w:top w:val="nil"/>
            </w:tcBorders>
            <w:vAlign w:val="bottom"/>
          </w:tcPr>
          <w:p w:rsidR="00171731" w:rsidRPr="00953A37" w:rsidRDefault="00171731" w:rsidP="00463471">
            <w:pPr>
              <w:rPr>
                <w:rFonts w:cs="Arial"/>
              </w:rPr>
            </w:pPr>
            <w:r w:rsidRPr="00953A37">
              <w:rPr>
                <w:rFonts w:cs="Arial"/>
              </w:rPr>
              <w:t>HP</w:t>
            </w:r>
          </w:p>
        </w:tc>
        <w:tc>
          <w:tcPr>
            <w:tcW w:w="1440" w:type="dxa"/>
            <w:tcBorders>
              <w:top w:val="nil"/>
            </w:tcBorders>
            <w:vAlign w:val="bottom"/>
          </w:tcPr>
          <w:p w:rsidR="00171731" w:rsidRPr="00953A37" w:rsidRDefault="00171731" w:rsidP="00463471">
            <w:pPr>
              <w:jc w:val="right"/>
              <w:rPr>
                <w:rFonts w:cs="Arial"/>
              </w:rPr>
            </w:pPr>
            <w:r w:rsidRPr="00953A37">
              <w:rPr>
                <w:rFonts w:cs="Arial"/>
              </w:rPr>
              <w:t>13,592,600</w:t>
            </w:r>
          </w:p>
        </w:tc>
        <w:tc>
          <w:tcPr>
            <w:tcW w:w="1512" w:type="dxa"/>
            <w:tcBorders>
              <w:top w:val="nil"/>
            </w:tcBorders>
            <w:vAlign w:val="bottom"/>
          </w:tcPr>
          <w:p w:rsidR="00171731" w:rsidRPr="00953A37" w:rsidRDefault="00171731" w:rsidP="00463471">
            <w:pPr>
              <w:jc w:val="right"/>
              <w:rPr>
                <w:rFonts w:cs="Arial"/>
              </w:rPr>
            </w:pPr>
            <w:r w:rsidRPr="00953A37">
              <w:rPr>
                <w:rFonts w:cs="Arial"/>
              </w:rPr>
              <w:t>16.4</w:t>
            </w:r>
          </w:p>
        </w:tc>
        <w:tc>
          <w:tcPr>
            <w:tcW w:w="1368" w:type="dxa"/>
            <w:tcBorders>
              <w:top w:val="nil"/>
            </w:tcBorders>
            <w:vAlign w:val="bottom"/>
          </w:tcPr>
          <w:p w:rsidR="00171731" w:rsidRPr="00953A37" w:rsidRDefault="00171731" w:rsidP="00463471">
            <w:pPr>
              <w:jc w:val="right"/>
              <w:rPr>
                <w:rFonts w:cs="Arial"/>
              </w:rPr>
            </w:pPr>
            <w:r w:rsidRPr="00953A37">
              <w:rPr>
                <w:rFonts w:cs="Arial"/>
              </w:rPr>
              <w:t>14,642,581</w:t>
            </w:r>
          </w:p>
        </w:tc>
        <w:tc>
          <w:tcPr>
            <w:tcW w:w="1512" w:type="dxa"/>
            <w:tcBorders>
              <w:top w:val="nil"/>
            </w:tcBorders>
            <w:vAlign w:val="bottom"/>
          </w:tcPr>
          <w:p w:rsidR="00171731" w:rsidRPr="00953A37" w:rsidRDefault="00171731" w:rsidP="00463471">
            <w:pPr>
              <w:jc w:val="right"/>
              <w:rPr>
                <w:rFonts w:cs="Arial"/>
              </w:rPr>
            </w:pPr>
            <w:r w:rsidRPr="00953A37">
              <w:rPr>
                <w:rFonts w:cs="Arial"/>
              </w:rPr>
              <w:t>16.5</w:t>
            </w:r>
          </w:p>
        </w:tc>
        <w:tc>
          <w:tcPr>
            <w:tcW w:w="1368" w:type="dxa"/>
            <w:tcBorders>
              <w:top w:val="nil"/>
            </w:tcBorders>
            <w:vAlign w:val="bottom"/>
          </w:tcPr>
          <w:p w:rsidR="00171731" w:rsidRPr="00953A37" w:rsidRDefault="00171731" w:rsidP="00463471">
            <w:pPr>
              <w:jc w:val="right"/>
              <w:rPr>
                <w:rFonts w:cs="Arial"/>
              </w:rPr>
            </w:pPr>
            <w:r w:rsidRPr="00953A37">
              <w:rPr>
                <w:rFonts w:cs="Arial"/>
              </w:rPr>
              <w:t>-7.2</w:t>
            </w:r>
          </w:p>
        </w:tc>
      </w:tr>
      <w:tr w:rsidR="00171731" w:rsidRPr="00953A37" w:rsidTr="00463471">
        <w:tblPrEx>
          <w:tblCellMar>
            <w:top w:w="0" w:type="dxa"/>
            <w:bottom w:w="0" w:type="dxa"/>
          </w:tblCellMar>
        </w:tblPrEx>
        <w:tc>
          <w:tcPr>
            <w:tcW w:w="3168" w:type="dxa"/>
            <w:vAlign w:val="bottom"/>
          </w:tcPr>
          <w:p w:rsidR="00171731" w:rsidRPr="00953A37" w:rsidRDefault="00171731" w:rsidP="00463471">
            <w:pPr>
              <w:rPr>
                <w:rFonts w:cs="Arial"/>
              </w:rPr>
            </w:pPr>
            <w:r w:rsidRPr="00953A37">
              <w:rPr>
                <w:rFonts w:cs="Arial"/>
              </w:rPr>
              <w:t>Dell</w:t>
            </w:r>
          </w:p>
        </w:tc>
        <w:tc>
          <w:tcPr>
            <w:tcW w:w="1440" w:type="dxa"/>
            <w:vAlign w:val="bottom"/>
          </w:tcPr>
          <w:p w:rsidR="00171731" w:rsidRPr="00953A37" w:rsidRDefault="00171731" w:rsidP="00463471">
            <w:pPr>
              <w:jc w:val="right"/>
              <w:rPr>
                <w:rFonts w:cs="Arial"/>
              </w:rPr>
            </w:pPr>
            <w:r w:rsidRPr="00953A37">
              <w:rPr>
                <w:rFonts w:cs="Arial"/>
              </w:rPr>
              <w:t>9,773,821</w:t>
            </w:r>
          </w:p>
        </w:tc>
        <w:tc>
          <w:tcPr>
            <w:tcW w:w="1512" w:type="dxa"/>
            <w:vAlign w:val="bottom"/>
          </w:tcPr>
          <w:p w:rsidR="00171731" w:rsidRPr="00953A37" w:rsidRDefault="00171731" w:rsidP="00463471">
            <w:pPr>
              <w:jc w:val="right"/>
              <w:rPr>
                <w:rFonts w:cs="Arial"/>
              </w:rPr>
            </w:pPr>
            <w:r w:rsidRPr="00953A37">
              <w:rPr>
                <w:rFonts w:cs="Arial"/>
              </w:rPr>
              <w:t>11.8</w:t>
            </w:r>
          </w:p>
        </w:tc>
        <w:tc>
          <w:tcPr>
            <w:tcW w:w="1368" w:type="dxa"/>
            <w:vAlign w:val="bottom"/>
          </w:tcPr>
          <w:p w:rsidR="00171731" w:rsidRPr="00953A37" w:rsidRDefault="00171731" w:rsidP="00463471">
            <w:pPr>
              <w:jc w:val="right"/>
              <w:rPr>
                <w:rFonts w:cs="Arial"/>
              </w:rPr>
            </w:pPr>
            <w:r w:rsidRPr="00953A37">
              <w:rPr>
                <w:rFonts w:cs="Arial"/>
              </w:rPr>
              <w:t>9,205,892</w:t>
            </w:r>
          </w:p>
        </w:tc>
        <w:tc>
          <w:tcPr>
            <w:tcW w:w="1512" w:type="dxa"/>
            <w:vAlign w:val="bottom"/>
          </w:tcPr>
          <w:p w:rsidR="00171731" w:rsidRPr="00953A37" w:rsidRDefault="00171731" w:rsidP="00463471">
            <w:pPr>
              <w:jc w:val="right"/>
              <w:rPr>
                <w:rFonts w:cs="Arial"/>
              </w:rPr>
            </w:pPr>
            <w:r w:rsidRPr="00953A37">
              <w:rPr>
                <w:rFonts w:cs="Arial"/>
              </w:rPr>
              <w:t>10.4</w:t>
            </w:r>
          </w:p>
        </w:tc>
        <w:tc>
          <w:tcPr>
            <w:tcW w:w="1368" w:type="dxa"/>
            <w:vAlign w:val="bottom"/>
          </w:tcPr>
          <w:p w:rsidR="00171731" w:rsidRPr="00953A37" w:rsidRDefault="00171731" w:rsidP="00463471">
            <w:pPr>
              <w:jc w:val="right"/>
              <w:rPr>
                <w:rFonts w:cs="Arial"/>
              </w:rPr>
            </w:pPr>
            <w:r w:rsidRPr="00953A37">
              <w:rPr>
                <w:rFonts w:cs="Arial"/>
              </w:rPr>
              <w:t>6.2</w:t>
            </w:r>
          </w:p>
        </w:tc>
      </w:tr>
      <w:tr w:rsidR="00171731" w:rsidRPr="00953A37" w:rsidTr="00463471">
        <w:tblPrEx>
          <w:tblCellMar>
            <w:top w:w="0" w:type="dxa"/>
            <w:bottom w:w="0" w:type="dxa"/>
          </w:tblCellMar>
        </w:tblPrEx>
        <w:tc>
          <w:tcPr>
            <w:tcW w:w="3168" w:type="dxa"/>
            <w:vAlign w:val="bottom"/>
          </w:tcPr>
          <w:p w:rsidR="00171731" w:rsidRPr="00953A37" w:rsidRDefault="00171731" w:rsidP="00463471">
            <w:pPr>
              <w:rPr>
                <w:rFonts w:cs="Arial"/>
              </w:rPr>
            </w:pPr>
            <w:r w:rsidRPr="00953A37">
              <w:rPr>
                <w:rFonts w:cs="Arial"/>
              </w:rPr>
              <w:t>Acer Group</w:t>
            </w:r>
          </w:p>
        </w:tc>
        <w:tc>
          <w:tcPr>
            <w:tcW w:w="1440" w:type="dxa"/>
            <w:vAlign w:val="bottom"/>
          </w:tcPr>
          <w:p w:rsidR="00171731" w:rsidRPr="00953A37" w:rsidRDefault="00171731" w:rsidP="00463471">
            <w:pPr>
              <w:jc w:val="right"/>
              <w:rPr>
                <w:rFonts w:cs="Arial"/>
              </w:rPr>
            </w:pPr>
            <w:r w:rsidRPr="00953A37">
              <w:rPr>
                <w:rFonts w:cs="Arial"/>
              </w:rPr>
              <w:t>6,474,738</w:t>
            </w:r>
          </w:p>
        </w:tc>
        <w:tc>
          <w:tcPr>
            <w:tcW w:w="1512" w:type="dxa"/>
            <w:vAlign w:val="bottom"/>
          </w:tcPr>
          <w:p w:rsidR="00171731" w:rsidRPr="00953A37" w:rsidRDefault="00171731" w:rsidP="00463471">
            <w:pPr>
              <w:jc w:val="right"/>
              <w:rPr>
                <w:rFonts w:cs="Arial"/>
              </w:rPr>
            </w:pPr>
            <w:r w:rsidRPr="00953A37">
              <w:rPr>
                <w:rFonts w:cs="Arial"/>
              </w:rPr>
              <w:t>7.8</w:t>
            </w:r>
          </w:p>
        </w:tc>
        <w:tc>
          <w:tcPr>
            <w:tcW w:w="1368" w:type="dxa"/>
            <w:vAlign w:val="bottom"/>
          </w:tcPr>
          <w:p w:rsidR="00171731" w:rsidRPr="00953A37" w:rsidRDefault="00171731" w:rsidP="00463471">
            <w:pPr>
              <w:jc w:val="right"/>
              <w:rPr>
                <w:rFonts w:cs="Arial"/>
              </w:rPr>
            </w:pPr>
            <w:r w:rsidRPr="00953A37">
              <w:rPr>
                <w:rFonts w:cs="Arial"/>
              </w:rPr>
              <w:t>7,703,752</w:t>
            </w:r>
          </w:p>
        </w:tc>
        <w:tc>
          <w:tcPr>
            <w:tcW w:w="1512" w:type="dxa"/>
            <w:vAlign w:val="bottom"/>
          </w:tcPr>
          <w:p w:rsidR="00171731" w:rsidRPr="00953A37" w:rsidRDefault="00171731" w:rsidP="00463471">
            <w:pPr>
              <w:jc w:val="right"/>
              <w:rPr>
                <w:rFonts w:cs="Arial"/>
              </w:rPr>
            </w:pPr>
            <w:r w:rsidRPr="00953A37">
              <w:rPr>
                <w:rFonts w:cs="Arial"/>
              </w:rPr>
              <w:t>8.7</w:t>
            </w:r>
          </w:p>
        </w:tc>
        <w:tc>
          <w:tcPr>
            <w:tcW w:w="1368" w:type="dxa"/>
            <w:vAlign w:val="bottom"/>
          </w:tcPr>
          <w:p w:rsidR="00171731" w:rsidRPr="00953A37" w:rsidRDefault="00171731" w:rsidP="00463471">
            <w:pPr>
              <w:jc w:val="right"/>
              <w:rPr>
                <w:rFonts w:cs="Arial"/>
              </w:rPr>
            </w:pPr>
            <w:r w:rsidRPr="00953A37">
              <w:rPr>
                <w:rFonts w:cs="Arial"/>
              </w:rPr>
              <w:t>-16.0</w:t>
            </w:r>
          </w:p>
        </w:tc>
      </w:tr>
      <w:tr w:rsidR="00171731" w:rsidRPr="00953A37" w:rsidTr="00463471">
        <w:tblPrEx>
          <w:tblCellMar>
            <w:top w:w="0" w:type="dxa"/>
            <w:bottom w:w="0" w:type="dxa"/>
          </w:tblCellMar>
        </w:tblPrEx>
        <w:tc>
          <w:tcPr>
            <w:tcW w:w="3168" w:type="dxa"/>
            <w:vAlign w:val="bottom"/>
          </w:tcPr>
          <w:p w:rsidR="00171731" w:rsidRPr="00953A37" w:rsidRDefault="00171731" w:rsidP="00463471">
            <w:pPr>
              <w:rPr>
                <w:rFonts w:cs="Arial"/>
              </w:rPr>
            </w:pPr>
            <w:r w:rsidRPr="00953A37">
              <w:rPr>
                <w:rFonts w:cs="Arial"/>
              </w:rPr>
              <w:t>ASUS</w:t>
            </w:r>
          </w:p>
        </w:tc>
        <w:tc>
          <w:tcPr>
            <w:tcW w:w="1440" w:type="dxa"/>
            <w:vAlign w:val="bottom"/>
          </w:tcPr>
          <w:p w:rsidR="00171731" w:rsidRPr="00953A37" w:rsidRDefault="00171731" w:rsidP="00463471">
            <w:pPr>
              <w:jc w:val="right"/>
              <w:rPr>
                <w:rFonts w:cs="Arial"/>
              </w:rPr>
            </w:pPr>
            <w:r w:rsidRPr="00953A37">
              <w:rPr>
                <w:rFonts w:cs="Arial"/>
              </w:rPr>
              <w:t>5,399,000</w:t>
            </w:r>
          </w:p>
        </w:tc>
        <w:tc>
          <w:tcPr>
            <w:tcW w:w="1512" w:type="dxa"/>
            <w:vAlign w:val="bottom"/>
          </w:tcPr>
          <w:p w:rsidR="00171731" w:rsidRPr="00953A37" w:rsidRDefault="00171731" w:rsidP="00463471">
            <w:pPr>
              <w:jc w:val="right"/>
              <w:rPr>
                <w:rFonts w:cs="Arial"/>
              </w:rPr>
            </w:pPr>
            <w:r w:rsidRPr="00953A37">
              <w:rPr>
                <w:rFonts w:cs="Arial"/>
              </w:rPr>
              <w:t>6.5</w:t>
            </w:r>
          </w:p>
        </w:tc>
        <w:tc>
          <w:tcPr>
            <w:tcW w:w="1368" w:type="dxa"/>
            <w:vAlign w:val="bottom"/>
          </w:tcPr>
          <w:p w:rsidR="00171731" w:rsidRPr="00953A37" w:rsidRDefault="00171731" w:rsidP="00463471">
            <w:pPr>
              <w:jc w:val="right"/>
              <w:rPr>
                <w:rFonts w:cs="Arial"/>
              </w:rPr>
            </w:pPr>
            <w:r w:rsidRPr="00953A37">
              <w:rPr>
                <w:rFonts w:cs="Arial"/>
              </w:rPr>
              <w:t>6,661,483</w:t>
            </w:r>
          </w:p>
        </w:tc>
        <w:tc>
          <w:tcPr>
            <w:tcW w:w="1512" w:type="dxa"/>
            <w:vAlign w:val="bottom"/>
          </w:tcPr>
          <w:p w:rsidR="00171731" w:rsidRPr="00953A37" w:rsidRDefault="00171731" w:rsidP="00463471">
            <w:pPr>
              <w:jc w:val="right"/>
              <w:rPr>
                <w:rFonts w:cs="Arial"/>
              </w:rPr>
            </w:pPr>
            <w:r w:rsidRPr="00953A37">
              <w:rPr>
                <w:rFonts w:cs="Arial"/>
              </w:rPr>
              <w:t>7.5</w:t>
            </w:r>
          </w:p>
        </w:tc>
        <w:tc>
          <w:tcPr>
            <w:tcW w:w="1368" w:type="dxa"/>
            <w:vAlign w:val="bottom"/>
          </w:tcPr>
          <w:p w:rsidR="00171731" w:rsidRPr="00953A37" w:rsidRDefault="00171731" w:rsidP="00463471">
            <w:pPr>
              <w:jc w:val="right"/>
              <w:rPr>
                <w:rFonts w:cs="Arial"/>
              </w:rPr>
            </w:pPr>
            <w:r w:rsidRPr="00953A37">
              <w:rPr>
                <w:rFonts w:cs="Arial"/>
              </w:rPr>
              <w:t>-19.0</w:t>
            </w:r>
          </w:p>
        </w:tc>
      </w:tr>
      <w:tr w:rsidR="00171731" w:rsidRPr="00953A37" w:rsidTr="00463471">
        <w:tblPrEx>
          <w:tblCellMar>
            <w:top w:w="0" w:type="dxa"/>
            <w:bottom w:w="0" w:type="dxa"/>
          </w:tblCellMar>
        </w:tblPrEx>
        <w:tc>
          <w:tcPr>
            <w:tcW w:w="3168" w:type="dxa"/>
            <w:vAlign w:val="bottom"/>
          </w:tcPr>
          <w:p w:rsidR="00171731" w:rsidRPr="00953A37" w:rsidRDefault="00171731" w:rsidP="00463471">
            <w:pPr>
              <w:rPr>
                <w:rFonts w:cs="Arial"/>
              </w:rPr>
            </w:pPr>
            <w:r w:rsidRPr="00953A37">
              <w:rPr>
                <w:rFonts w:cs="Arial"/>
              </w:rPr>
              <w:t>Others</w:t>
            </w:r>
          </w:p>
        </w:tc>
        <w:tc>
          <w:tcPr>
            <w:tcW w:w="1440" w:type="dxa"/>
            <w:vAlign w:val="bottom"/>
          </w:tcPr>
          <w:p w:rsidR="00171731" w:rsidRPr="00953A37" w:rsidRDefault="00171731" w:rsidP="00463471">
            <w:pPr>
              <w:jc w:val="right"/>
              <w:rPr>
                <w:rFonts w:cs="Arial"/>
              </w:rPr>
            </w:pPr>
            <w:r w:rsidRPr="00953A37">
              <w:rPr>
                <w:rFonts w:cs="Arial"/>
              </w:rPr>
              <w:t>32,461,044</w:t>
            </w:r>
          </w:p>
        </w:tc>
        <w:tc>
          <w:tcPr>
            <w:tcW w:w="1512" w:type="dxa"/>
            <w:vAlign w:val="bottom"/>
          </w:tcPr>
          <w:p w:rsidR="00171731" w:rsidRPr="00953A37" w:rsidRDefault="00171731" w:rsidP="00463471">
            <w:pPr>
              <w:jc w:val="right"/>
              <w:rPr>
                <w:rFonts w:cs="Arial"/>
              </w:rPr>
            </w:pPr>
            <w:r w:rsidRPr="00953A37">
              <w:rPr>
                <w:rFonts w:cs="Arial"/>
              </w:rPr>
              <w:t>39.3</w:t>
            </w:r>
          </w:p>
        </w:tc>
        <w:tc>
          <w:tcPr>
            <w:tcW w:w="1368" w:type="dxa"/>
            <w:vAlign w:val="bottom"/>
          </w:tcPr>
          <w:p w:rsidR="00171731" w:rsidRPr="00953A37" w:rsidRDefault="00171731" w:rsidP="00463471">
            <w:pPr>
              <w:jc w:val="right"/>
              <w:rPr>
                <w:rFonts w:cs="Arial"/>
              </w:rPr>
            </w:pPr>
            <w:r w:rsidRPr="00953A37">
              <w:rPr>
                <w:rFonts w:cs="Arial"/>
              </w:rPr>
              <w:t>36,509,123</w:t>
            </w:r>
          </w:p>
        </w:tc>
        <w:tc>
          <w:tcPr>
            <w:tcW w:w="1512" w:type="dxa"/>
            <w:vAlign w:val="bottom"/>
          </w:tcPr>
          <w:p w:rsidR="00171731" w:rsidRPr="00953A37" w:rsidRDefault="00171731" w:rsidP="00463471">
            <w:pPr>
              <w:jc w:val="right"/>
              <w:rPr>
                <w:rFonts w:cs="Arial"/>
              </w:rPr>
            </w:pPr>
            <w:r w:rsidRPr="00953A37">
              <w:rPr>
                <w:rFonts w:cs="Arial"/>
              </w:rPr>
              <w:t>41.1</w:t>
            </w:r>
          </w:p>
        </w:tc>
        <w:tc>
          <w:tcPr>
            <w:tcW w:w="1368" w:type="dxa"/>
            <w:vAlign w:val="bottom"/>
          </w:tcPr>
          <w:p w:rsidR="00171731" w:rsidRPr="00953A37" w:rsidRDefault="00171731" w:rsidP="00463471">
            <w:pPr>
              <w:jc w:val="right"/>
              <w:rPr>
                <w:rFonts w:cs="Arial"/>
              </w:rPr>
            </w:pPr>
            <w:r w:rsidRPr="00953A37">
              <w:rPr>
                <w:rFonts w:cs="Arial"/>
              </w:rPr>
              <w:t>-11.1</w:t>
            </w:r>
          </w:p>
        </w:tc>
      </w:tr>
      <w:tr w:rsidR="00171731" w:rsidRPr="00953A37" w:rsidTr="00463471">
        <w:tblPrEx>
          <w:tblCellMar>
            <w:top w:w="0" w:type="dxa"/>
            <w:bottom w:w="0" w:type="dxa"/>
          </w:tblCellMar>
        </w:tblPrEx>
        <w:tc>
          <w:tcPr>
            <w:tcW w:w="3168" w:type="dxa"/>
            <w:vAlign w:val="bottom"/>
          </w:tcPr>
          <w:p w:rsidR="00171731" w:rsidRPr="00953A37" w:rsidRDefault="00171731" w:rsidP="00463471">
            <w:pPr>
              <w:rPr>
                <w:rFonts w:cs="Arial"/>
                <w:b/>
              </w:rPr>
            </w:pPr>
            <w:r w:rsidRPr="00953A37">
              <w:rPr>
                <w:rFonts w:cs="Arial"/>
                <w:b/>
              </w:rPr>
              <w:t>Total</w:t>
            </w:r>
          </w:p>
        </w:tc>
        <w:tc>
          <w:tcPr>
            <w:tcW w:w="1440" w:type="dxa"/>
            <w:vAlign w:val="bottom"/>
          </w:tcPr>
          <w:p w:rsidR="00171731" w:rsidRPr="00953A37" w:rsidRDefault="00171731" w:rsidP="00463471">
            <w:pPr>
              <w:jc w:val="right"/>
              <w:rPr>
                <w:rFonts w:cs="Arial"/>
                <w:b/>
                <w:bCs/>
              </w:rPr>
            </w:pPr>
            <w:r w:rsidRPr="00953A37">
              <w:rPr>
                <w:rFonts w:cs="Arial"/>
                <w:b/>
                <w:bCs/>
              </w:rPr>
              <w:t>82,633,610</w:t>
            </w:r>
          </w:p>
        </w:tc>
        <w:tc>
          <w:tcPr>
            <w:tcW w:w="1512" w:type="dxa"/>
            <w:vAlign w:val="bottom"/>
          </w:tcPr>
          <w:p w:rsidR="00171731" w:rsidRPr="00953A37" w:rsidRDefault="00171731" w:rsidP="00463471">
            <w:pPr>
              <w:jc w:val="right"/>
              <w:rPr>
                <w:rFonts w:cs="Arial"/>
                <w:b/>
                <w:bCs/>
              </w:rPr>
            </w:pPr>
            <w:r w:rsidRPr="00953A37">
              <w:rPr>
                <w:rFonts w:cs="Arial"/>
                <w:b/>
                <w:bCs/>
              </w:rPr>
              <w:t>100.0</w:t>
            </w:r>
          </w:p>
        </w:tc>
        <w:tc>
          <w:tcPr>
            <w:tcW w:w="1368" w:type="dxa"/>
            <w:vAlign w:val="bottom"/>
          </w:tcPr>
          <w:p w:rsidR="00171731" w:rsidRPr="00953A37" w:rsidRDefault="00171731" w:rsidP="00463471">
            <w:pPr>
              <w:jc w:val="right"/>
              <w:rPr>
                <w:rFonts w:cs="Arial"/>
                <w:b/>
                <w:bCs/>
              </w:rPr>
            </w:pPr>
            <w:r w:rsidRPr="00953A37">
              <w:rPr>
                <w:rFonts w:cs="Arial"/>
                <w:b/>
                <w:bCs/>
              </w:rPr>
              <w:t>88,727,923</w:t>
            </w:r>
          </w:p>
        </w:tc>
        <w:tc>
          <w:tcPr>
            <w:tcW w:w="1512" w:type="dxa"/>
            <w:vAlign w:val="bottom"/>
          </w:tcPr>
          <w:p w:rsidR="00171731" w:rsidRPr="00953A37" w:rsidRDefault="00171731" w:rsidP="00463471">
            <w:pPr>
              <w:jc w:val="right"/>
              <w:rPr>
                <w:rFonts w:cs="Arial"/>
                <w:b/>
                <w:bCs/>
              </w:rPr>
            </w:pPr>
            <w:r w:rsidRPr="00953A37">
              <w:rPr>
                <w:rFonts w:cs="Arial"/>
                <w:b/>
                <w:bCs/>
              </w:rPr>
              <w:t>100.0</w:t>
            </w:r>
          </w:p>
        </w:tc>
        <w:tc>
          <w:tcPr>
            <w:tcW w:w="1368" w:type="dxa"/>
            <w:vAlign w:val="bottom"/>
          </w:tcPr>
          <w:p w:rsidR="00171731" w:rsidRPr="00953A37" w:rsidRDefault="00171731" w:rsidP="00463471">
            <w:pPr>
              <w:jc w:val="right"/>
              <w:rPr>
                <w:rFonts w:cs="Arial"/>
                <w:b/>
                <w:bCs/>
              </w:rPr>
            </w:pPr>
            <w:r w:rsidRPr="00953A37">
              <w:rPr>
                <w:rFonts w:cs="Arial"/>
                <w:b/>
                <w:bCs/>
              </w:rPr>
              <w:t>-6.9</w:t>
            </w:r>
          </w:p>
        </w:tc>
      </w:tr>
    </w:tbl>
    <w:p w:rsidR="00171731" w:rsidRPr="00953A37" w:rsidRDefault="00171731" w:rsidP="00171731">
      <w:pPr>
        <w:jc w:val="left"/>
        <w:rPr>
          <w:sz w:val="16"/>
          <w:szCs w:val="16"/>
        </w:rPr>
      </w:pPr>
      <w:r w:rsidRPr="00953A37">
        <w:rPr>
          <w:sz w:val="16"/>
          <w:szCs w:val="16"/>
        </w:rPr>
        <w:t>Note: Data includes desk-based PCs and mobile PCs, including mini-notebooks but not media tablets such as the iPad. Data</w:t>
      </w:r>
      <w:r w:rsidRPr="00953A37">
        <w:rPr>
          <w:rFonts w:eastAsia="SimSun"/>
          <w:sz w:val="16"/>
          <w:szCs w:val="16"/>
        </w:rPr>
        <w:t xml:space="preserve"> is based on the shipments selling into channels.</w:t>
      </w:r>
    </w:p>
    <w:p w:rsidR="00171731" w:rsidRPr="00953A37" w:rsidRDefault="00171731" w:rsidP="00171731">
      <w:pPr>
        <w:jc w:val="left"/>
        <w:rPr>
          <w:sz w:val="16"/>
        </w:rPr>
      </w:pPr>
      <w:r w:rsidRPr="00953A37">
        <w:rPr>
          <w:sz w:val="16"/>
        </w:rPr>
        <w:t>Source: Gartner (January 2014)</w:t>
      </w:r>
    </w:p>
    <w:p w:rsidR="00171731" w:rsidRPr="00953A37" w:rsidRDefault="00171731" w:rsidP="00171731">
      <w:pPr>
        <w:pStyle w:val="contact"/>
        <w:tabs>
          <w:tab w:val="clear" w:pos="9180"/>
        </w:tabs>
        <w:rPr>
          <w:rFonts w:ascii="Arial" w:hAnsi="Arial" w:cs="Arial"/>
          <w:szCs w:val="22"/>
        </w:rPr>
      </w:pPr>
    </w:p>
    <w:p w:rsidR="00171731" w:rsidRPr="00953A37" w:rsidRDefault="00171731" w:rsidP="00171731">
      <w:pPr>
        <w:jc w:val="left"/>
        <w:rPr>
          <w:rFonts w:cs="Arial"/>
          <w:sz w:val="22"/>
          <w:szCs w:val="22"/>
        </w:rPr>
      </w:pPr>
      <w:r w:rsidRPr="00953A37">
        <w:rPr>
          <w:rFonts w:cs="Arial"/>
          <w:sz w:val="22"/>
          <w:szCs w:val="22"/>
        </w:rPr>
        <w:t xml:space="preserve">Dell continued to maintain the third position and accounted for 11.8 </w:t>
      </w:r>
      <w:r w:rsidR="00953A37" w:rsidRPr="00953A37">
        <w:rPr>
          <w:rFonts w:cs="Arial"/>
          <w:sz w:val="22"/>
          <w:szCs w:val="22"/>
        </w:rPr>
        <w:t>per cent</w:t>
      </w:r>
      <w:r w:rsidRPr="00953A37">
        <w:rPr>
          <w:rFonts w:cs="Arial"/>
          <w:sz w:val="22"/>
          <w:szCs w:val="22"/>
        </w:rPr>
        <w:t xml:space="preserve"> of the market. With the completion of the leveraged buyout, Dell has redefined its strategic focus onto its PC and device businesses. Dell's focus is now beyond its traditional strength in the professional PC market; its focus is now also on consumer PCs, particularly in emerging markets.</w:t>
      </w:r>
    </w:p>
    <w:p w:rsidR="00171731" w:rsidRPr="00953A37" w:rsidRDefault="00171731" w:rsidP="00171731">
      <w:pPr>
        <w:rPr>
          <w:rFonts w:cs="Arial"/>
          <w:sz w:val="22"/>
          <w:szCs w:val="22"/>
        </w:rPr>
      </w:pPr>
    </w:p>
    <w:p w:rsidR="00171731" w:rsidRPr="00953A37" w:rsidRDefault="00171731" w:rsidP="00171731">
      <w:pPr>
        <w:pStyle w:val="contact"/>
        <w:tabs>
          <w:tab w:val="clear" w:pos="9180"/>
        </w:tabs>
        <w:rPr>
          <w:rFonts w:ascii="Arial" w:hAnsi="Arial" w:cs="Arial"/>
          <w:szCs w:val="22"/>
        </w:rPr>
      </w:pPr>
      <w:r w:rsidRPr="00953A37">
        <w:rPr>
          <w:rFonts w:ascii="Arial" w:hAnsi="Arial" w:cs="Arial"/>
          <w:szCs w:val="22"/>
        </w:rPr>
        <w:t xml:space="preserve">Acer and Asus's ranking remained unchanged compared with a year ago. Both companies have more focus on tablets, and their fourth-quarter results clearly proved their strategic focus. </w:t>
      </w:r>
      <w:r w:rsidR="00953A37">
        <w:rPr>
          <w:rFonts w:ascii="Arial" w:hAnsi="Arial" w:cs="Arial"/>
          <w:szCs w:val="22"/>
        </w:rPr>
        <w:t>Ms</w:t>
      </w:r>
      <w:r w:rsidRPr="00953A37">
        <w:rPr>
          <w:rFonts w:ascii="Arial" w:hAnsi="Arial" w:cs="Arial"/>
          <w:szCs w:val="22"/>
        </w:rPr>
        <w:t xml:space="preserve"> Kitagawa said Acer has established a strong position in the </w:t>
      </w:r>
      <w:proofErr w:type="spellStart"/>
      <w:r w:rsidRPr="00953A37">
        <w:rPr>
          <w:rFonts w:ascii="Arial" w:hAnsi="Arial" w:cs="Arial"/>
          <w:szCs w:val="22"/>
        </w:rPr>
        <w:t>Chromebook</w:t>
      </w:r>
      <w:proofErr w:type="spellEnd"/>
      <w:r w:rsidRPr="00953A37">
        <w:rPr>
          <w:rFonts w:ascii="Arial" w:hAnsi="Arial" w:cs="Arial"/>
          <w:szCs w:val="22"/>
        </w:rPr>
        <w:t xml:space="preserve"> market, while Asus has built a solid reputation as a tablet vendor. PCs are still strategic products for both companies, but share gain is not the top priority for them.</w:t>
      </w:r>
    </w:p>
    <w:p w:rsidR="00171731" w:rsidRPr="00953A37" w:rsidRDefault="00171731" w:rsidP="00171731">
      <w:pPr>
        <w:pStyle w:val="contact"/>
        <w:tabs>
          <w:tab w:val="clear" w:pos="9180"/>
        </w:tabs>
        <w:rPr>
          <w:rFonts w:ascii="Arial" w:eastAsia="SimSun" w:hAnsi="Arial" w:cs="Arial"/>
          <w:szCs w:val="22"/>
        </w:rPr>
      </w:pPr>
    </w:p>
    <w:p w:rsidR="00171731" w:rsidRPr="00953A37" w:rsidRDefault="00171731" w:rsidP="00171731">
      <w:pPr>
        <w:pStyle w:val="contact"/>
        <w:tabs>
          <w:tab w:val="clear" w:pos="9180"/>
        </w:tabs>
        <w:rPr>
          <w:rFonts w:ascii="Arial" w:hAnsi="Arial" w:cs="Arial"/>
          <w:szCs w:val="22"/>
        </w:rPr>
      </w:pPr>
      <w:r w:rsidRPr="00953A37">
        <w:rPr>
          <w:rFonts w:ascii="Arial" w:eastAsia="SimSun" w:hAnsi="Arial" w:cs="Arial"/>
        </w:rPr>
        <w:t xml:space="preserve">In the </w:t>
      </w:r>
      <w:r w:rsidR="00953A37">
        <w:rPr>
          <w:rFonts w:ascii="Arial" w:eastAsia="SimSun" w:hAnsi="Arial" w:cs="Arial"/>
        </w:rPr>
        <w:t>US</w:t>
      </w:r>
      <w:r w:rsidRPr="00953A37">
        <w:rPr>
          <w:rFonts w:ascii="Arial" w:eastAsia="SimSun" w:hAnsi="Arial" w:cs="Arial"/>
        </w:rPr>
        <w:t xml:space="preserve">, PC shipments </w:t>
      </w:r>
      <w:r w:rsidR="00953A37">
        <w:rPr>
          <w:rFonts w:ascii="Arial" w:eastAsia="SimSun" w:hAnsi="Arial" w:cs="Arial"/>
        </w:rPr>
        <w:t>totalled</w:t>
      </w:r>
      <w:r w:rsidRPr="00953A37">
        <w:rPr>
          <w:rFonts w:ascii="Arial" w:eastAsia="SimSun" w:hAnsi="Arial" w:cs="Arial"/>
        </w:rPr>
        <w:t xml:space="preserve"> 15.8 million units in the fourth quarter of 2013, a 7.5 </w:t>
      </w:r>
      <w:r w:rsidR="00953A37" w:rsidRPr="00953A37">
        <w:rPr>
          <w:rFonts w:ascii="Arial" w:eastAsia="SimSun" w:hAnsi="Arial" w:cs="Arial"/>
        </w:rPr>
        <w:t>per cent</w:t>
      </w:r>
      <w:r w:rsidRPr="00953A37">
        <w:rPr>
          <w:rFonts w:ascii="Arial" w:eastAsia="SimSun" w:hAnsi="Arial" w:cs="Arial"/>
        </w:rPr>
        <w:t xml:space="preserve"> decline from the fourth quarter of 2012 (see Table 2). </w:t>
      </w:r>
      <w:r w:rsidRPr="00953A37">
        <w:rPr>
          <w:rFonts w:ascii="Arial" w:hAnsi="Arial" w:cs="Arial"/>
          <w:szCs w:val="22"/>
        </w:rPr>
        <w:t xml:space="preserve">Despite a 10.3 </w:t>
      </w:r>
      <w:r w:rsidR="00953A37" w:rsidRPr="00953A37">
        <w:rPr>
          <w:rFonts w:ascii="Arial" w:hAnsi="Arial" w:cs="Arial"/>
          <w:szCs w:val="22"/>
        </w:rPr>
        <w:t>per cent</w:t>
      </w:r>
      <w:r w:rsidRPr="00953A37">
        <w:rPr>
          <w:rFonts w:ascii="Arial" w:hAnsi="Arial" w:cs="Arial"/>
          <w:szCs w:val="22"/>
        </w:rPr>
        <w:t xml:space="preserve"> decline in shipments, HP continued to be the No. 1 vendor in the </w:t>
      </w:r>
      <w:r w:rsidR="00953A37">
        <w:rPr>
          <w:rFonts w:ascii="Arial" w:hAnsi="Arial" w:cs="Arial"/>
          <w:szCs w:val="22"/>
        </w:rPr>
        <w:t>US</w:t>
      </w:r>
      <w:r w:rsidRPr="00953A37">
        <w:rPr>
          <w:rFonts w:ascii="Arial" w:hAnsi="Arial" w:cs="Arial"/>
          <w:szCs w:val="22"/>
        </w:rPr>
        <w:t xml:space="preserve">, as it accounted for 26.5 </w:t>
      </w:r>
      <w:r w:rsidR="00953A37" w:rsidRPr="00953A37">
        <w:rPr>
          <w:rFonts w:ascii="Arial" w:hAnsi="Arial" w:cs="Arial"/>
          <w:szCs w:val="22"/>
        </w:rPr>
        <w:t>per cent</w:t>
      </w:r>
      <w:r w:rsidRPr="00953A37">
        <w:rPr>
          <w:rFonts w:ascii="Arial" w:hAnsi="Arial" w:cs="Arial"/>
          <w:szCs w:val="22"/>
        </w:rPr>
        <w:t xml:space="preserve"> of shipments.</w:t>
      </w:r>
    </w:p>
    <w:p w:rsidR="00171731" w:rsidRPr="00953A37" w:rsidRDefault="00171731" w:rsidP="00171731">
      <w:pPr>
        <w:pStyle w:val="contact"/>
        <w:tabs>
          <w:tab w:val="clear" w:pos="9180"/>
        </w:tabs>
        <w:rPr>
          <w:rFonts w:ascii="Arial" w:hAnsi="Arial" w:cs="Arial"/>
          <w:szCs w:val="22"/>
        </w:rPr>
      </w:pPr>
    </w:p>
    <w:p w:rsidR="00171731" w:rsidRPr="00953A37" w:rsidRDefault="00171731" w:rsidP="00171731">
      <w:pPr>
        <w:pStyle w:val="contact"/>
        <w:tabs>
          <w:tab w:val="clear" w:pos="9180"/>
        </w:tabs>
        <w:rPr>
          <w:rFonts w:ascii="Arial" w:hAnsi="Arial" w:cs="Arial"/>
          <w:szCs w:val="22"/>
        </w:rPr>
      </w:pPr>
      <w:r w:rsidRPr="00953A37">
        <w:rPr>
          <w:rFonts w:ascii="Arial" w:hAnsi="Arial" w:cs="Arial"/>
          <w:szCs w:val="22"/>
        </w:rPr>
        <w:t xml:space="preserve">"Holiday sales of technology products were strong in the </w:t>
      </w:r>
      <w:r w:rsidR="00953A37">
        <w:rPr>
          <w:rFonts w:ascii="Arial" w:hAnsi="Arial" w:cs="Arial"/>
          <w:szCs w:val="22"/>
        </w:rPr>
        <w:t>US</w:t>
      </w:r>
      <w:r w:rsidRPr="00953A37">
        <w:rPr>
          <w:rFonts w:ascii="Arial" w:hAnsi="Arial" w:cs="Arial"/>
          <w:szCs w:val="22"/>
        </w:rPr>
        <w:t xml:space="preserve"> market, but consumer spending during the holidays did not come back to PCs as tablets were one of the hottest holiday items," said </w:t>
      </w:r>
      <w:r w:rsidR="00953A37">
        <w:rPr>
          <w:rFonts w:ascii="Arial" w:hAnsi="Arial" w:cs="Arial"/>
          <w:szCs w:val="22"/>
        </w:rPr>
        <w:t>Ms</w:t>
      </w:r>
      <w:r w:rsidRPr="00953A37">
        <w:rPr>
          <w:rFonts w:ascii="Arial" w:hAnsi="Arial" w:cs="Arial"/>
          <w:szCs w:val="22"/>
        </w:rPr>
        <w:t xml:space="preserve"> Kitagawa. "We think that the </w:t>
      </w:r>
      <w:r w:rsidR="00953A37">
        <w:rPr>
          <w:rFonts w:ascii="Arial" w:hAnsi="Arial" w:cs="Arial"/>
          <w:szCs w:val="22"/>
        </w:rPr>
        <w:t>US</w:t>
      </w:r>
      <w:r w:rsidRPr="00953A37">
        <w:rPr>
          <w:rFonts w:ascii="Arial" w:hAnsi="Arial" w:cs="Arial"/>
          <w:szCs w:val="22"/>
        </w:rPr>
        <w:t xml:space="preserve"> PC market has bottomed out. A variety of new form factors, such as hybrid notebooks, drew holiday shoppers' attention, but the market size was very small at the time. Lowering the price point of thin and light products started encouraging the PC replacement and potentially some PC growth in 2014."</w:t>
      </w:r>
    </w:p>
    <w:p w:rsidR="00171731" w:rsidRPr="00953A37" w:rsidRDefault="00171731" w:rsidP="00171731">
      <w:pPr>
        <w:pStyle w:val="contact"/>
        <w:tabs>
          <w:tab w:val="clear" w:pos="9180"/>
        </w:tabs>
        <w:rPr>
          <w:rFonts w:ascii="Arial" w:hAnsi="Arial" w:cs="Arial"/>
        </w:rPr>
      </w:pPr>
    </w:p>
    <w:p w:rsidR="00171731" w:rsidRPr="00953A37" w:rsidRDefault="00171731" w:rsidP="00171731">
      <w:pPr>
        <w:jc w:val="left"/>
        <w:rPr>
          <w:b/>
          <w:sz w:val="22"/>
        </w:rPr>
      </w:pPr>
      <w:r w:rsidRPr="00953A37">
        <w:rPr>
          <w:b/>
          <w:sz w:val="22"/>
        </w:rPr>
        <w:t>Table 2</w:t>
      </w:r>
      <w:r w:rsidRPr="00953A37">
        <w:rPr>
          <w:b/>
          <w:sz w:val="22"/>
        </w:rPr>
        <w:br/>
        <w:t xml:space="preserve">Preliminary </w:t>
      </w:r>
      <w:r w:rsidR="00953A37">
        <w:rPr>
          <w:b/>
          <w:sz w:val="22"/>
        </w:rPr>
        <w:t>US</w:t>
      </w:r>
      <w:r w:rsidRPr="00953A37">
        <w:rPr>
          <w:b/>
          <w:sz w:val="22"/>
        </w:rPr>
        <w:t xml:space="preserve"> PC Vendor Unit Shipment Estimates for 4Q13 (Units)</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168"/>
        <w:gridCol w:w="1440"/>
        <w:gridCol w:w="1512"/>
        <w:gridCol w:w="1368"/>
        <w:gridCol w:w="1512"/>
        <w:gridCol w:w="1368"/>
      </w:tblGrid>
      <w:tr w:rsidR="00171731" w:rsidRPr="00953A37" w:rsidTr="00463471">
        <w:tblPrEx>
          <w:tblCellMar>
            <w:top w:w="0" w:type="dxa"/>
            <w:bottom w:w="0" w:type="dxa"/>
          </w:tblCellMar>
        </w:tblPrEx>
        <w:tc>
          <w:tcPr>
            <w:tcW w:w="3168" w:type="dxa"/>
            <w:tcBorders>
              <w:top w:val="single" w:sz="6" w:space="0" w:color="auto"/>
              <w:bottom w:val="single" w:sz="6" w:space="0" w:color="auto"/>
            </w:tcBorders>
          </w:tcPr>
          <w:p w:rsidR="00171731" w:rsidRPr="00953A37" w:rsidRDefault="00171731" w:rsidP="00463471">
            <w:pPr>
              <w:pStyle w:val="HeadingJustified"/>
              <w:tabs>
                <w:tab w:val="decimal" w:pos="990"/>
                <w:tab w:val="decimal" w:pos="2070"/>
                <w:tab w:val="left" w:pos="2880"/>
                <w:tab w:val="decimal" w:pos="4140"/>
                <w:tab w:val="decimal" w:pos="4860"/>
                <w:tab w:val="decimal" w:pos="7020"/>
                <w:tab w:val="decimal" w:pos="7110"/>
              </w:tabs>
            </w:pPr>
            <w:r w:rsidRPr="00953A37">
              <w:rPr>
                <w:b w:val="0"/>
              </w:rPr>
              <w:br/>
            </w:r>
            <w:r w:rsidRPr="00953A37">
              <w:t>Company</w:t>
            </w:r>
          </w:p>
        </w:tc>
        <w:tc>
          <w:tcPr>
            <w:tcW w:w="1440" w:type="dxa"/>
            <w:tcBorders>
              <w:top w:val="single" w:sz="6" w:space="0" w:color="auto"/>
              <w:bottom w:val="single" w:sz="6" w:space="0" w:color="auto"/>
            </w:tcBorders>
          </w:tcPr>
          <w:p w:rsidR="00171731" w:rsidRPr="00953A37" w:rsidRDefault="00171731" w:rsidP="00463471">
            <w:pPr>
              <w:tabs>
                <w:tab w:val="decimal" w:pos="990"/>
                <w:tab w:val="decimal" w:pos="2070"/>
                <w:tab w:val="left" w:pos="2880"/>
                <w:tab w:val="decimal" w:pos="4140"/>
                <w:tab w:val="decimal" w:pos="4860"/>
                <w:tab w:val="decimal" w:pos="7020"/>
                <w:tab w:val="decimal" w:pos="7110"/>
              </w:tabs>
              <w:jc w:val="right"/>
              <w:rPr>
                <w:b/>
              </w:rPr>
            </w:pPr>
            <w:r w:rsidRPr="00953A37">
              <w:rPr>
                <w:b/>
              </w:rPr>
              <w:t>4Q13 Shipments</w:t>
            </w:r>
          </w:p>
        </w:tc>
        <w:tc>
          <w:tcPr>
            <w:tcW w:w="1512" w:type="dxa"/>
            <w:tcBorders>
              <w:top w:val="single" w:sz="6" w:space="0" w:color="auto"/>
              <w:bottom w:val="single" w:sz="6" w:space="0" w:color="auto"/>
            </w:tcBorders>
          </w:tcPr>
          <w:p w:rsidR="00171731" w:rsidRPr="00953A37" w:rsidRDefault="00171731" w:rsidP="00463471">
            <w:pPr>
              <w:tabs>
                <w:tab w:val="decimal" w:pos="990"/>
                <w:tab w:val="decimal" w:pos="2070"/>
                <w:tab w:val="left" w:pos="2880"/>
                <w:tab w:val="decimal" w:pos="4140"/>
                <w:tab w:val="decimal" w:pos="4860"/>
                <w:tab w:val="decimal" w:pos="7020"/>
                <w:tab w:val="decimal" w:pos="7110"/>
              </w:tabs>
              <w:jc w:val="right"/>
              <w:rPr>
                <w:b/>
              </w:rPr>
            </w:pPr>
            <w:r w:rsidRPr="00953A37">
              <w:rPr>
                <w:b/>
              </w:rPr>
              <w:t>4Q13 Market Share (%)</w:t>
            </w:r>
          </w:p>
        </w:tc>
        <w:tc>
          <w:tcPr>
            <w:tcW w:w="1368" w:type="dxa"/>
            <w:tcBorders>
              <w:top w:val="single" w:sz="6" w:space="0" w:color="auto"/>
              <w:bottom w:val="single" w:sz="6" w:space="0" w:color="auto"/>
            </w:tcBorders>
          </w:tcPr>
          <w:p w:rsidR="00171731" w:rsidRPr="00953A37" w:rsidRDefault="00171731" w:rsidP="00463471">
            <w:pPr>
              <w:tabs>
                <w:tab w:val="decimal" w:pos="990"/>
                <w:tab w:val="decimal" w:pos="2070"/>
                <w:tab w:val="left" w:pos="2880"/>
                <w:tab w:val="decimal" w:pos="4140"/>
                <w:tab w:val="decimal" w:pos="4860"/>
                <w:tab w:val="decimal" w:pos="7020"/>
                <w:tab w:val="decimal" w:pos="7110"/>
              </w:tabs>
              <w:jc w:val="right"/>
              <w:rPr>
                <w:b/>
              </w:rPr>
            </w:pPr>
            <w:r w:rsidRPr="00953A37">
              <w:rPr>
                <w:b/>
              </w:rPr>
              <w:t>4Q12 Shipments</w:t>
            </w:r>
          </w:p>
        </w:tc>
        <w:tc>
          <w:tcPr>
            <w:tcW w:w="1512" w:type="dxa"/>
            <w:tcBorders>
              <w:top w:val="single" w:sz="6" w:space="0" w:color="auto"/>
              <w:bottom w:val="single" w:sz="6" w:space="0" w:color="auto"/>
            </w:tcBorders>
          </w:tcPr>
          <w:p w:rsidR="00171731" w:rsidRPr="00953A37" w:rsidRDefault="00171731" w:rsidP="00463471">
            <w:pPr>
              <w:tabs>
                <w:tab w:val="decimal" w:pos="990"/>
                <w:tab w:val="decimal" w:pos="2070"/>
                <w:tab w:val="left" w:pos="2880"/>
                <w:tab w:val="decimal" w:pos="4140"/>
                <w:tab w:val="decimal" w:pos="4860"/>
                <w:tab w:val="decimal" w:pos="7020"/>
                <w:tab w:val="decimal" w:pos="7110"/>
              </w:tabs>
              <w:jc w:val="right"/>
              <w:rPr>
                <w:b/>
              </w:rPr>
            </w:pPr>
            <w:r w:rsidRPr="00953A37">
              <w:rPr>
                <w:b/>
              </w:rPr>
              <w:t>4Q12 Market Share (%)</w:t>
            </w:r>
          </w:p>
        </w:tc>
        <w:tc>
          <w:tcPr>
            <w:tcW w:w="1368" w:type="dxa"/>
            <w:tcBorders>
              <w:top w:val="single" w:sz="6" w:space="0" w:color="auto"/>
              <w:bottom w:val="single" w:sz="6" w:space="0" w:color="auto"/>
            </w:tcBorders>
          </w:tcPr>
          <w:p w:rsidR="00171731" w:rsidRPr="00953A37" w:rsidRDefault="00171731" w:rsidP="00463471">
            <w:pPr>
              <w:tabs>
                <w:tab w:val="decimal" w:pos="990"/>
                <w:tab w:val="decimal" w:pos="2070"/>
                <w:tab w:val="left" w:pos="2880"/>
                <w:tab w:val="decimal" w:pos="4140"/>
                <w:tab w:val="decimal" w:pos="4860"/>
                <w:tab w:val="decimal" w:pos="7020"/>
                <w:tab w:val="decimal" w:pos="7110"/>
              </w:tabs>
              <w:jc w:val="right"/>
              <w:rPr>
                <w:b/>
              </w:rPr>
            </w:pPr>
            <w:r w:rsidRPr="00953A37">
              <w:rPr>
                <w:b/>
              </w:rPr>
              <w:t>4Q13-4Q12 Growth (%)</w:t>
            </w:r>
          </w:p>
        </w:tc>
      </w:tr>
      <w:tr w:rsidR="00171731" w:rsidRPr="00953A37" w:rsidTr="00463471">
        <w:tblPrEx>
          <w:tblCellMar>
            <w:top w:w="0" w:type="dxa"/>
            <w:bottom w:w="0" w:type="dxa"/>
          </w:tblCellMar>
        </w:tblPrEx>
        <w:tc>
          <w:tcPr>
            <w:tcW w:w="3168" w:type="dxa"/>
            <w:tcBorders>
              <w:top w:val="nil"/>
            </w:tcBorders>
            <w:vAlign w:val="bottom"/>
          </w:tcPr>
          <w:p w:rsidR="00171731" w:rsidRPr="00953A37" w:rsidRDefault="00171731" w:rsidP="00463471">
            <w:pPr>
              <w:rPr>
                <w:rFonts w:cs="Arial"/>
              </w:rPr>
            </w:pPr>
            <w:r w:rsidRPr="00953A37">
              <w:rPr>
                <w:rFonts w:cs="Arial"/>
              </w:rPr>
              <w:t>HP</w:t>
            </w:r>
          </w:p>
        </w:tc>
        <w:tc>
          <w:tcPr>
            <w:tcW w:w="1440" w:type="dxa"/>
            <w:tcBorders>
              <w:top w:val="nil"/>
            </w:tcBorders>
            <w:vAlign w:val="bottom"/>
          </w:tcPr>
          <w:p w:rsidR="00171731" w:rsidRPr="00953A37" w:rsidRDefault="00171731" w:rsidP="00463471">
            <w:pPr>
              <w:jc w:val="right"/>
              <w:rPr>
                <w:rFonts w:cs="Arial"/>
              </w:rPr>
            </w:pPr>
            <w:r w:rsidRPr="00953A37">
              <w:rPr>
                <w:rFonts w:cs="Arial"/>
              </w:rPr>
              <w:t>4,179,305</w:t>
            </w:r>
          </w:p>
        </w:tc>
        <w:tc>
          <w:tcPr>
            <w:tcW w:w="1512" w:type="dxa"/>
            <w:tcBorders>
              <w:top w:val="nil"/>
            </w:tcBorders>
            <w:vAlign w:val="bottom"/>
          </w:tcPr>
          <w:p w:rsidR="00171731" w:rsidRPr="00953A37" w:rsidRDefault="00171731" w:rsidP="00463471">
            <w:pPr>
              <w:jc w:val="right"/>
              <w:rPr>
                <w:rFonts w:cs="Arial"/>
              </w:rPr>
            </w:pPr>
            <w:r w:rsidRPr="00953A37">
              <w:rPr>
                <w:rFonts w:cs="Arial"/>
              </w:rPr>
              <w:t>26.5</w:t>
            </w:r>
          </w:p>
        </w:tc>
        <w:tc>
          <w:tcPr>
            <w:tcW w:w="1368" w:type="dxa"/>
            <w:tcBorders>
              <w:top w:val="nil"/>
            </w:tcBorders>
            <w:vAlign w:val="bottom"/>
          </w:tcPr>
          <w:p w:rsidR="00171731" w:rsidRPr="00953A37" w:rsidRDefault="00171731" w:rsidP="00463471">
            <w:pPr>
              <w:jc w:val="right"/>
              <w:rPr>
                <w:rFonts w:cs="Arial"/>
              </w:rPr>
            </w:pPr>
            <w:r w:rsidRPr="00953A37">
              <w:rPr>
                <w:rFonts w:cs="Arial"/>
              </w:rPr>
              <w:t>4,657,342</w:t>
            </w:r>
          </w:p>
        </w:tc>
        <w:tc>
          <w:tcPr>
            <w:tcW w:w="1512" w:type="dxa"/>
            <w:tcBorders>
              <w:top w:val="nil"/>
            </w:tcBorders>
            <w:vAlign w:val="bottom"/>
          </w:tcPr>
          <w:p w:rsidR="00171731" w:rsidRPr="00953A37" w:rsidRDefault="00171731" w:rsidP="00463471">
            <w:pPr>
              <w:jc w:val="right"/>
              <w:rPr>
                <w:rFonts w:cs="Arial"/>
              </w:rPr>
            </w:pPr>
            <w:r w:rsidRPr="00953A37">
              <w:rPr>
                <w:rFonts w:cs="Arial"/>
              </w:rPr>
              <w:t>27.3</w:t>
            </w:r>
          </w:p>
        </w:tc>
        <w:tc>
          <w:tcPr>
            <w:tcW w:w="1368" w:type="dxa"/>
            <w:tcBorders>
              <w:top w:val="nil"/>
            </w:tcBorders>
            <w:vAlign w:val="bottom"/>
          </w:tcPr>
          <w:p w:rsidR="00171731" w:rsidRPr="00953A37" w:rsidRDefault="00171731" w:rsidP="00463471">
            <w:pPr>
              <w:jc w:val="right"/>
              <w:rPr>
                <w:rFonts w:cs="Arial"/>
              </w:rPr>
            </w:pPr>
            <w:r w:rsidRPr="00953A37">
              <w:rPr>
                <w:rFonts w:cs="Arial"/>
              </w:rPr>
              <w:t>-10.3</w:t>
            </w:r>
          </w:p>
        </w:tc>
      </w:tr>
      <w:tr w:rsidR="00171731" w:rsidRPr="00953A37" w:rsidTr="00463471">
        <w:tblPrEx>
          <w:tblCellMar>
            <w:top w:w="0" w:type="dxa"/>
            <w:bottom w:w="0" w:type="dxa"/>
          </w:tblCellMar>
        </w:tblPrEx>
        <w:tc>
          <w:tcPr>
            <w:tcW w:w="3168" w:type="dxa"/>
            <w:vAlign w:val="bottom"/>
          </w:tcPr>
          <w:p w:rsidR="00171731" w:rsidRPr="00953A37" w:rsidRDefault="00171731" w:rsidP="00463471">
            <w:pPr>
              <w:rPr>
                <w:rFonts w:cs="Arial"/>
              </w:rPr>
            </w:pPr>
            <w:r w:rsidRPr="00953A37">
              <w:rPr>
                <w:rFonts w:cs="Arial"/>
              </w:rPr>
              <w:t>Dell</w:t>
            </w:r>
          </w:p>
        </w:tc>
        <w:tc>
          <w:tcPr>
            <w:tcW w:w="1440" w:type="dxa"/>
            <w:vAlign w:val="bottom"/>
          </w:tcPr>
          <w:p w:rsidR="00171731" w:rsidRPr="00953A37" w:rsidRDefault="00171731" w:rsidP="00463471">
            <w:pPr>
              <w:jc w:val="right"/>
              <w:rPr>
                <w:rFonts w:cs="Arial"/>
              </w:rPr>
            </w:pPr>
            <w:r w:rsidRPr="00953A37">
              <w:rPr>
                <w:rFonts w:cs="Arial"/>
              </w:rPr>
              <w:t>3,601,776</w:t>
            </w:r>
          </w:p>
        </w:tc>
        <w:tc>
          <w:tcPr>
            <w:tcW w:w="1512" w:type="dxa"/>
            <w:vAlign w:val="bottom"/>
          </w:tcPr>
          <w:p w:rsidR="00171731" w:rsidRPr="00953A37" w:rsidRDefault="00171731" w:rsidP="00463471">
            <w:pPr>
              <w:jc w:val="right"/>
              <w:rPr>
                <w:rFonts w:cs="Arial"/>
              </w:rPr>
            </w:pPr>
            <w:r w:rsidRPr="00953A37">
              <w:rPr>
                <w:rFonts w:cs="Arial"/>
              </w:rPr>
              <w:t>22.8</w:t>
            </w:r>
          </w:p>
        </w:tc>
        <w:tc>
          <w:tcPr>
            <w:tcW w:w="1368" w:type="dxa"/>
            <w:vAlign w:val="bottom"/>
          </w:tcPr>
          <w:p w:rsidR="00171731" w:rsidRPr="00953A37" w:rsidRDefault="00171731" w:rsidP="00463471">
            <w:pPr>
              <w:jc w:val="right"/>
              <w:rPr>
                <w:rFonts w:cs="Arial"/>
              </w:rPr>
            </w:pPr>
            <w:r w:rsidRPr="00953A37">
              <w:rPr>
                <w:rFonts w:cs="Arial"/>
              </w:rPr>
              <w:t>3,355,152</w:t>
            </w:r>
          </w:p>
        </w:tc>
        <w:tc>
          <w:tcPr>
            <w:tcW w:w="1512" w:type="dxa"/>
            <w:vAlign w:val="bottom"/>
          </w:tcPr>
          <w:p w:rsidR="00171731" w:rsidRPr="00953A37" w:rsidRDefault="00171731" w:rsidP="00463471">
            <w:pPr>
              <w:jc w:val="right"/>
              <w:rPr>
                <w:rFonts w:cs="Arial"/>
              </w:rPr>
            </w:pPr>
            <w:r w:rsidRPr="00953A37">
              <w:rPr>
                <w:rFonts w:cs="Arial"/>
              </w:rPr>
              <w:t>19.7</w:t>
            </w:r>
          </w:p>
        </w:tc>
        <w:tc>
          <w:tcPr>
            <w:tcW w:w="1368" w:type="dxa"/>
            <w:vAlign w:val="bottom"/>
          </w:tcPr>
          <w:p w:rsidR="00171731" w:rsidRPr="00953A37" w:rsidRDefault="00171731" w:rsidP="00463471">
            <w:pPr>
              <w:jc w:val="right"/>
              <w:rPr>
                <w:rFonts w:cs="Arial"/>
              </w:rPr>
            </w:pPr>
            <w:r w:rsidRPr="00953A37">
              <w:rPr>
                <w:rFonts w:cs="Arial"/>
              </w:rPr>
              <w:t>7.4</w:t>
            </w:r>
          </w:p>
        </w:tc>
      </w:tr>
      <w:tr w:rsidR="00171731" w:rsidRPr="00953A37" w:rsidTr="00463471">
        <w:tblPrEx>
          <w:tblCellMar>
            <w:top w:w="0" w:type="dxa"/>
            <w:bottom w:w="0" w:type="dxa"/>
          </w:tblCellMar>
        </w:tblPrEx>
        <w:tc>
          <w:tcPr>
            <w:tcW w:w="3168" w:type="dxa"/>
            <w:vAlign w:val="bottom"/>
          </w:tcPr>
          <w:p w:rsidR="00171731" w:rsidRPr="00953A37" w:rsidRDefault="00171731" w:rsidP="00463471">
            <w:pPr>
              <w:rPr>
                <w:rFonts w:cs="Arial"/>
              </w:rPr>
            </w:pPr>
            <w:r w:rsidRPr="00953A37">
              <w:rPr>
                <w:rFonts w:cs="Arial"/>
              </w:rPr>
              <w:t>Apple</w:t>
            </w:r>
          </w:p>
        </w:tc>
        <w:tc>
          <w:tcPr>
            <w:tcW w:w="1440" w:type="dxa"/>
            <w:vAlign w:val="bottom"/>
          </w:tcPr>
          <w:p w:rsidR="00171731" w:rsidRPr="00953A37" w:rsidRDefault="00171731" w:rsidP="00463471">
            <w:pPr>
              <w:jc w:val="right"/>
              <w:rPr>
                <w:rFonts w:cs="Arial"/>
              </w:rPr>
            </w:pPr>
            <w:r w:rsidRPr="00953A37">
              <w:rPr>
                <w:rFonts w:cs="Arial"/>
              </w:rPr>
              <w:t>2,168,212</w:t>
            </w:r>
          </w:p>
        </w:tc>
        <w:tc>
          <w:tcPr>
            <w:tcW w:w="1512" w:type="dxa"/>
            <w:vAlign w:val="bottom"/>
          </w:tcPr>
          <w:p w:rsidR="00171731" w:rsidRPr="00953A37" w:rsidRDefault="00171731" w:rsidP="00463471">
            <w:pPr>
              <w:jc w:val="right"/>
              <w:rPr>
                <w:rFonts w:cs="Arial"/>
              </w:rPr>
            </w:pPr>
            <w:r w:rsidRPr="00953A37">
              <w:rPr>
                <w:rFonts w:cs="Arial"/>
              </w:rPr>
              <w:t>13.7</w:t>
            </w:r>
          </w:p>
        </w:tc>
        <w:tc>
          <w:tcPr>
            <w:tcW w:w="1368" w:type="dxa"/>
            <w:vAlign w:val="bottom"/>
          </w:tcPr>
          <w:p w:rsidR="00171731" w:rsidRPr="00953A37" w:rsidRDefault="00171731" w:rsidP="00463471">
            <w:pPr>
              <w:jc w:val="right"/>
              <w:rPr>
                <w:rFonts w:cs="Arial"/>
              </w:rPr>
            </w:pPr>
            <w:r w:rsidRPr="00953A37">
              <w:rPr>
                <w:rFonts w:cs="Arial"/>
              </w:rPr>
              <w:t>1,687,881</w:t>
            </w:r>
          </w:p>
        </w:tc>
        <w:tc>
          <w:tcPr>
            <w:tcW w:w="1512" w:type="dxa"/>
            <w:vAlign w:val="bottom"/>
          </w:tcPr>
          <w:p w:rsidR="00171731" w:rsidRPr="00953A37" w:rsidRDefault="00171731" w:rsidP="00463471">
            <w:pPr>
              <w:jc w:val="right"/>
              <w:rPr>
                <w:rFonts w:cs="Arial"/>
              </w:rPr>
            </w:pPr>
            <w:r w:rsidRPr="00953A37">
              <w:rPr>
                <w:rFonts w:cs="Arial"/>
              </w:rPr>
              <w:t>9.9</w:t>
            </w:r>
          </w:p>
        </w:tc>
        <w:tc>
          <w:tcPr>
            <w:tcW w:w="1368" w:type="dxa"/>
            <w:vAlign w:val="bottom"/>
          </w:tcPr>
          <w:p w:rsidR="00171731" w:rsidRPr="00953A37" w:rsidRDefault="00171731" w:rsidP="00463471">
            <w:pPr>
              <w:jc w:val="right"/>
              <w:rPr>
                <w:rFonts w:cs="Arial"/>
              </w:rPr>
            </w:pPr>
            <w:r w:rsidRPr="00953A37">
              <w:rPr>
                <w:rFonts w:cs="Arial"/>
              </w:rPr>
              <w:t>28.5</w:t>
            </w:r>
          </w:p>
        </w:tc>
      </w:tr>
      <w:tr w:rsidR="00171731" w:rsidRPr="00953A37" w:rsidTr="00463471">
        <w:tblPrEx>
          <w:tblCellMar>
            <w:top w:w="0" w:type="dxa"/>
            <w:bottom w:w="0" w:type="dxa"/>
          </w:tblCellMar>
        </w:tblPrEx>
        <w:tc>
          <w:tcPr>
            <w:tcW w:w="3168" w:type="dxa"/>
            <w:vAlign w:val="bottom"/>
          </w:tcPr>
          <w:p w:rsidR="00171731" w:rsidRPr="00953A37" w:rsidRDefault="00171731" w:rsidP="00463471">
            <w:pPr>
              <w:rPr>
                <w:rFonts w:cs="Arial"/>
              </w:rPr>
            </w:pPr>
            <w:r w:rsidRPr="00953A37">
              <w:rPr>
                <w:rFonts w:cs="Arial"/>
              </w:rPr>
              <w:t>Lenovo</w:t>
            </w:r>
          </w:p>
        </w:tc>
        <w:tc>
          <w:tcPr>
            <w:tcW w:w="1440" w:type="dxa"/>
            <w:vAlign w:val="bottom"/>
          </w:tcPr>
          <w:p w:rsidR="00171731" w:rsidRPr="00953A37" w:rsidRDefault="00171731" w:rsidP="00463471">
            <w:pPr>
              <w:jc w:val="right"/>
              <w:rPr>
                <w:rFonts w:cs="Arial"/>
              </w:rPr>
            </w:pPr>
            <w:r w:rsidRPr="00953A37">
              <w:rPr>
                <w:rFonts w:cs="Arial"/>
              </w:rPr>
              <w:t>1,525,848</w:t>
            </w:r>
          </w:p>
        </w:tc>
        <w:tc>
          <w:tcPr>
            <w:tcW w:w="1512" w:type="dxa"/>
            <w:vAlign w:val="bottom"/>
          </w:tcPr>
          <w:p w:rsidR="00171731" w:rsidRPr="00953A37" w:rsidRDefault="00171731" w:rsidP="00463471">
            <w:pPr>
              <w:jc w:val="right"/>
              <w:rPr>
                <w:rFonts w:cs="Arial"/>
              </w:rPr>
            </w:pPr>
            <w:r w:rsidRPr="00953A37">
              <w:rPr>
                <w:rFonts w:cs="Arial"/>
              </w:rPr>
              <w:t>9.7</w:t>
            </w:r>
          </w:p>
        </w:tc>
        <w:tc>
          <w:tcPr>
            <w:tcW w:w="1368" w:type="dxa"/>
            <w:vAlign w:val="bottom"/>
          </w:tcPr>
          <w:p w:rsidR="00171731" w:rsidRPr="00953A37" w:rsidRDefault="00171731" w:rsidP="00463471">
            <w:pPr>
              <w:jc w:val="right"/>
              <w:rPr>
                <w:rFonts w:cs="Arial"/>
              </w:rPr>
            </w:pPr>
            <w:r w:rsidRPr="00953A37">
              <w:rPr>
                <w:rFonts w:cs="Arial"/>
              </w:rPr>
              <w:t>1,473,907</w:t>
            </w:r>
          </w:p>
        </w:tc>
        <w:tc>
          <w:tcPr>
            <w:tcW w:w="1512" w:type="dxa"/>
            <w:vAlign w:val="bottom"/>
          </w:tcPr>
          <w:p w:rsidR="00171731" w:rsidRPr="00953A37" w:rsidRDefault="00171731" w:rsidP="00463471">
            <w:pPr>
              <w:jc w:val="right"/>
              <w:rPr>
                <w:rFonts w:cs="Arial"/>
              </w:rPr>
            </w:pPr>
            <w:r w:rsidRPr="00953A37">
              <w:rPr>
                <w:rFonts w:cs="Arial"/>
              </w:rPr>
              <w:t>8.6</w:t>
            </w:r>
          </w:p>
        </w:tc>
        <w:tc>
          <w:tcPr>
            <w:tcW w:w="1368" w:type="dxa"/>
            <w:vAlign w:val="bottom"/>
          </w:tcPr>
          <w:p w:rsidR="00171731" w:rsidRPr="00953A37" w:rsidRDefault="00171731" w:rsidP="00463471">
            <w:pPr>
              <w:jc w:val="right"/>
              <w:rPr>
                <w:rFonts w:cs="Arial"/>
              </w:rPr>
            </w:pPr>
            <w:r w:rsidRPr="00953A37">
              <w:rPr>
                <w:rFonts w:cs="Arial"/>
              </w:rPr>
              <w:t>3.5</w:t>
            </w:r>
          </w:p>
        </w:tc>
      </w:tr>
      <w:tr w:rsidR="00171731" w:rsidRPr="00953A37" w:rsidTr="00463471">
        <w:tblPrEx>
          <w:tblCellMar>
            <w:top w:w="0" w:type="dxa"/>
            <w:bottom w:w="0" w:type="dxa"/>
          </w:tblCellMar>
        </w:tblPrEx>
        <w:tc>
          <w:tcPr>
            <w:tcW w:w="3168" w:type="dxa"/>
            <w:vAlign w:val="bottom"/>
          </w:tcPr>
          <w:p w:rsidR="00171731" w:rsidRPr="00953A37" w:rsidRDefault="00171731" w:rsidP="00463471">
            <w:pPr>
              <w:rPr>
                <w:rFonts w:cs="Arial"/>
              </w:rPr>
            </w:pPr>
            <w:r w:rsidRPr="00953A37">
              <w:rPr>
                <w:rFonts w:cs="Arial"/>
              </w:rPr>
              <w:t>Toshiba</w:t>
            </w:r>
          </w:p>
        </w:tc>
        <w:tc>
          <w:tcPr>
            <w:tcW w:w="1440" w:type="dxa"/>
            <w:vAlign w:val="bottom"/>
          </w:tcPr>
          <w:p w:rsidR="00171731" w:rsidRPr="00953A37" w:rsidRDefault="00171731" w:rsidP="00463471">
            <w:pPr>
              <w:jc w:val="right"/>
              <w:rPr>
                <w:rFonts w:cs="Arial"/>
              </w:rPr>
            </w:pPr>
            <w:r w:rsidRPr="00953A37">
              <w:rPr>
                <w:rFonts w:cs="Arial"/>
              </w:rPr>
              <w:t>1,142,782</w:t>
            </w:r>
          </w:p>
        </w:tc>
        <w:tc>
          <w:tcPr>
            <w:tcW w:w="1512" w:type="dxa"/>
            <w:vAlign w:val="bottom"/>
          </w:tcPr>
          <w:p w:rsidR="00171731" w:rsidRPr="00953A37" w:rsidRDefault="00171731" w:rsidP="00463471">
            <w:pPr>
              <w:jc w:val="right"/>
              <w:rPr>
                <w:rFonts w:cs="Arial"/>
              </w:rPr>
            </w:pPr>
            <w:r w:rsidRPr="00953A37">
              <w:rPr>
                <w:rFonts w:cs="Arial"/>
              </w:rPr>
              <w:t>7.2</w:t>
            </w:r>
          </w:p>
        </w:tc>
        <w:tc>
          <w:tcPr>
            <w:tcW w:w="1368" w:type="dxa"/>
            <w:vAlign w:val="bottom"/>
          </w:tcPr>
          <w:p w:rsidR="00171731" w:rsidRPr="00953A37" w:rsidRDefault="00171731" w:rsidP="00463471">
            <w:pPr>
              <w:jc w:val="right"/>
              <w:rPr>
                <w:rFonts w:cs="Arial"/>
              </w:rPr>
            </w:pPr>
            <w:r w:rsidRPr="00953A37">
              <w:rPr>
                <w:rFonts w:cs="Arial"/>
              </w:rPr>
              <w:t>1,326,665</w:t>
            </w:r>
          </w:p>
        </w:tc>
        <w:tc>
          <w:tcPr>
            <w:tcW w:w="1512" w:type="dxa"/>
            <w:vAlign w:val="bottom"/>
          </w:tcPr>
          <w:p w:rsidR="00171731" w:rsidRPr="00953A37" w:rsidRDefault="00171731" w:rsidP="00463471">
            <w:pPr>
              <w:jc w:val="right"/>
              <w:rPr>
                <w:rFonts w:cs="Arial"/>
              </w:rPr>
            </w:pPr>
            <w:r w:rsidRPr="00953A37">
              <w:rPr>
                <w:rFonts w:cs="Arial"/>
              </w:rPr>
              <w:t>7.8</w:t>
            </w:r>
          </w:p>
        </w:tc>
        <w:tc>
          <w:tcPr>
            <w:tcW w:w="1368" w:type="dxa"/>
            <w:vAlign w:val="bottom"/>
          </w:tcPr>
          <w:p w:rsidR="00171731" w:rsidRPr="00953A37" w:rsidRDefault="00171731" w:rsidP="00463471">
            <w:pPr>
              <w:jc w:val="right"/>
              <w:rPr>
                <w:rFonts w:cs="Arial"/>
              </w:rPr>
            </w:pPr>
            <w:r w:rsidRPr="00953A37">
              <w:rPr>
                <w:rFonts w:cs="Arial"/>
              </w:rPr>
              <w:t>-13.9</w:t>
            </w:r>
          </w:p>
        </w:tc>
      </w:tr>
      <w:tr w:rsidR="00171731" w:rsidRPr="00953A37" w:rsidTr="00463471">
        <w:tblPrEx>
          <w:tblCellMar>
            <w:top w:w="0" w:type="dxa"/>
            <w:bottom w:w="0" w:type="dxa"/>
          </w:tblCellMar>
        </w:tblPrEx>
        <w:tc>
          <w:tcPr>
            <w:tcW w:w="3168" w:type="dxa"/>
            <w:vAlign w:val="bottom"/>
          </w:tcPr>
          <w:p w:rsidR="00171731" w:rsidRPr="00953A37" w:rsidRDefault="00171731" w:rsidP="00463471">
            <w:pPr>
              <w:rPr>
                <w:rFonts w:cs="Arial"/>
              </w:rPr>
            </w:pPr>
            <w:r w:rsidRPr="00953A37">
              <w:rPr>
                <w:rFonts w:cs="Arial"/>
              </w:rPr>
              <w:t>Others</w:t>
            </w:r>
          </w:p>
        </w:tc>
        <w:tc>
          <w:tcPr>
            <w:tcW w:w="1440" w:type="dxa"/>
            <w:vAlign w:val="bottom"/>
          </w:tcPr>
          <w:p w:rsidR="00171731" w:rsidRPr="00953A37" w:rsidRDefault="00171731" w:rsidP="00463471">
            <w:pPr>
              <w:jc w:val="right"/>
              <w:rPr>
                <w:rFonts w:cs="Arial"/>
              </w:rPr>
            </w:pPr>
            <w:r w:rsidRPr="00953A37">
              <w:rPr>
                <w:rFonts w:cs="Arial"/>
              </w:rPr>
              <w:t>3,177,562</w:t>
            </w:r>
          </w:p>
        </w:tc>
        <w:tc>
          <w:tcPr>
            <w:tcW w:w="1512" w:type="dxa"/>
            <w:vAlign w:val="bottom"/>
          </w:tcPr>
          <w:p w:rsidR="00171731" w:rsidRPr="00953A37" w:rsidRDefault="00171731" w:rsidP="00463471">
            <w:pPr>
              <w:jc w:val="right"/>
              <w:rPr>
                <w:rFonts w:cs="Arial"/>
              </w:rPr>
            </w:pPr>
            <w:r w:rsidRPr="00953A37">
              <w:rPr>
                <w:rFonts w:cs="Arial"/>
              </w:rPr>
              <w:t>20.1</w:t>
            </w:r>
          </w:p>
        </w:tc>
        <w:tc>
          <w:tcPr>
            <w:tcW w:w="1368" w:type="dxa"/>
            <w:vAlign w:val="bottom"/>
          </w:tcPr>
          <w:p w:rsidR="00171731" w:rsidRPr="00953A37" w:rsidRDefault="00171731" w:rsidP="00463471">
            <w:pPr>
              <w:jc w:val="right"/>
              <w:rPr>
                <w:rFonts w:cs="Arial"/>
              </w:rPr>
            </w:pPr>
            <w:r w:rsidRPr="00953A37">
              <w:rPr>
                <w:rFonts w:cs="Arial"/>
              </w:rPr>
              <w:t>4,567,432</w:t>
            </w:r>
          </w:p>
        </w:tc>
        <w:tc>
          <w:tcPr>
            <w:tcW w:w="1512" w:type="dxa"/>
            <w:vAlign w:val="bottom"/>
          </w:tcPr>
          <w:p w:rsidR="00171731" w:rsidRPr="00953A37" w:rsidRDefault="00171731" w:rsidP="00463471">
            <w:pPr>
              <w:jc w:val="right"/>
              <w:rPr>
                <w:rFonts w:cs="Arial"/>
              </w:rPr>
            </w:pPr>
            <w:r w:rsidRPr="00953A37">
              <w:rPr>
                <w:rFonts w:cs="Arial"/>
              </w:rPr>
              <w:t>26.8</w:t>
            </w:r>
          </w:p>
        </w:tc>
        <w:tc>
          <w:tcPr>
            <w:tcW w:w="1368" w:type="dxa"/>
            <w:vAlign w:val="bottom"/>
          </w:tcPr>
          <w:p w:rsidR="00171731" w:rsidRPr="00953A37" w:rsidRDefault="00171731" w:rsidP="00463471">
            <w:pPr>
              <w:jc w:val="right"/>
              <w:rPr>
                <w:rFonts w:cs="Arial"/>
              </w:rPr>
            </w:pPr>
            <w:r w:rsidRPr="00953A37">
              <w:rPr>
                <w:rFonts w:cs="Arial"/>
              </w:rPr>
              <w:t>-30.4</w:t>
            </w:r>
          </w:p>
        </w:tc>
      </w:tr>
      <w:tr w:rsidR="00171731" w:rsidRPr="00953A37" w:rsidTr="00463471">
        <w:tblPrEx>
          <w:tblCellMar>
            <w:top w:w="0" w:type="dxa"/>
            <w:bottom w:w="0" w:type="dxa"/>
          </w:tblCellMar>
        </w:tblPrEx>
        <w:tc>
          <w:tcPr>
            <w:tcW w:w="3168" w:type="dxa"/>
            <w:vAlign w:val="bottom"/>
          </w:tcPr>
          <w:p w:rsidR="00171731" w:rsidRPr="00953A37" w:rsidRDefault="00171731" w:rsidP="00463471">
            <w:pPr>
              <w:rPr>
                <w:rFonts w:cs="Arial"/>
                <w:b/>
              </w:rPr>
            </w:pPr>
            <w:r w:rsidRPr="00953A37">
              <w:rPr>
                <w:rFonts w:cs="Arial"/>
                <w:b/>
              </w:rPr>
              <w:t>Total</w:t>
            </w:r>
          </w:p>
        </w:tc>
        <w:tc>
          <w:tcPr>
            <w:tcW w:w="1440" w:type="dxa"/>
            <w:vAlign w:val="bottom"/>
          </w:tcPr>
          <w:p w:rsidR="00171731" w:rsidRPr="00953A37" w:rsidRDefault="00171731" w:rsidP="00463471">
            <w:pPr>
              <w:jc w:val="right"/>
              <w:rPr>
                <w:rFonts w:cs="Arial"/>
                <w:b/>
              </w:rPr>
            </w:pPr>
            <w:r w:rsidRPr="00953A37">
              <w:rPr>
                <w:rFonts w:cs="Arial"/>
                <w:b/>
              </w:rPr>
              <w:t>15,795,486</w:t>
            </w:r>
          </w:p>
        </w:tc>
        <w:tc>
          <w:tcPr>
            <w:tcW w:w="1512" w:type="dxa"/>
            <w:vAlign w:val="bottom"/>
          </w:tcPr>
          <w:p w:rsidR="00171731" w:rsidRPr="00953A37" w:rsidRDefault="00171731" w:rsidP="00463471">
            <w:pPr>
              <w:jc w:val="right"/>
              <w:rPr>
                <w:rFonts w:cs="Arial"/>
                <w:b/>
              </w:rPr>
            </w:pPr>
            <w:r w:rsidRPr="00953A37">
              <w:rPr>
                <w:rFonts w:cs="Arial"/>
                <w:b/>
              </w:rPr>
              <w:t>100.0</w:t>
            </w:r>
          </w:p>
        </w:tc>
        <w:tc>
          <w:tcPr>
            <w:tcW w:w="1368" w:type="dxa"/>
            <w:vAlign w:val="bottom"/>
          </w:tcPr>
          <w:p w:rsidR="00171731" w:rsidRPr="00953A37" w:rsidRDefault="00171731" w:rsidP="00463471">
            <w:pPr>
              <w:jc w:val="right"/>
              <w:rPr>
                <w:rFonts w:cs="Arial"/>
                <w:b/>
              </w:rPr>
            </w:pPr>
            <w:r w:rsidRPr="00953A37">
              <w:rPr>
                <w:rFonts w:cs="Arial"/>
                <w:b/>
              </w:rPr>
              <w:t>17,068,378</w:t>
            </w:r>
          </w:p>
        </w:tc>
        <w:tc>
          <w:tcPr>
            <w:tcW w:w="1512" w:type="dxa"/>
            <w:vAlign w:val="bottom"/>
          </w:tcPr>
          <w:p w:rsidR="00171731" w:rsidRPr="00953A37" w:rsidRDefault="00171731" w:rsidP="00463471">
            <w:pPr>
              <w:jc w:val="right"/>
              <w:rPr>
                <w:rFonts w:cs="Arial"/>
                <w:b/>
              </w:rPr>
            </w:pPr>
            <w:r w:rsidRPr="00953A37">
              <w:rPr>
                <w:rFonts w:cs="Arial"/>
                <w:b/>
              </w:rPr>
              <w:t>100.0</w:t>
            </w:r>
          </w:p>
        </w:tc>
        <w:tc>
          <w:tcPr>
            <w:tcW w:w="1368" w:type="dxa"/>
            <w:vAlign w:val="bottom"/>
          </w:tcPr>
          <w:p w:rsidR="00171731" w:rsidRPr="00953A37" w:rsidRDefault="00171731" w:rsidP="00463471">
            <w:pPr>
              <w:jc w:val="right"/>
              <w:rPr>
                <w:rFonts w:cs="Arial"/>
                <w:b/>
              </w:rPr>
            </w:pPr>
            <w:r w:rsidRPr="00953A37">
              <w:rPr>
                <w:rFonts w:cs="Arial"/>
                <w:b/>
              </w:rPr>
              <w:t>-7.5</w:t>
            </w:r>
          </w:p>
        </w:tc>
      </w:tr>
    </w:tbl>
    <w:p w:rsidR="00171731" w:rsidRPr="00953A37" w:rsidRDefault="00171731" w:rsidP="00171731">
      <w:pPr>
        <w:jc w:val="left"/>
        <w:rPr>
          <w:sz w:val="16"/>
          <w:szCs w:val="16"/>
        </w:rPr>
      </w:pPr>
      <w:r w:rsidRPr="00953A37">
        <w:rPr>
          <w:sz w:val="16"/>
          <w:szCs w:val="16"/>
        </w:rPr>
        <w:t>Note: Data includes desk-based PCs and mobile PCs, including mini-notebooks but not media tablets such as the iPad. Data</w:t>
      </w:r>
      <w:r w:rsidRPr="00953A37">
        <w:rPr>
          <w:rFonts w:eastAsia="SimSun"/>
          <w:sz w:val="16"/>
          <w:szCs w:val="16"/>
        </w:rPr>
        <w:t xml:space="preserve"> is based on the shipments selling into channels.</w:t>
      </w:r>
    </w:p>
    <w:p w:rsidR="00171731" w:rsidRPr="00953A37" w:rsidRDefault="00171731" w:rsidP="00171731">
      <w:pPr>
        <w:jc w:val="left"/>
        <w:rPr>
          <w:sz w:val="16"/>
        </w:rPr>
      </w:pPr>
      <w:r w:rsidRPr="00953A37">
        <w:rPr>
          <w:sz w:val="16"/>
        </w:rPr>
        <w:t>Source: Gartner (January 2014)</w:t>
      </w:r>
    </w:p>
    <w:p w:rsidR="00171731" w:rsidRPr="00953A37" w:rsidRDefault="00171731" w:rsidP="00171731">
      <w:pPr>
        <w:jc w:val="left"/>
        <w:rPr>
          <w:sz w:val="16"/>
        </w:rPr>
      </w:pPr>
    </w:p>
    <w:p w:rsidR="00171731" w:rsidRPr="00953A37" w:rsidRDefault="00171731" w:rsidP="00171731">
      <w:pPr>
        <w:pStyle w:val="contact"/>
        <w:tabs>
          <w:tab w:val="clear" w:pos="9180"/>
        </w:tabs>
        <w:rPr>
          <w:rFonts w:ascii="Arial" w:hAnsi="Arial" w:cs="Arial"/>
        </w:rPr>
      </w:pPr>
      <w:r w:rsidRPr="00953A37">
        <w:rPr>
          <w:rFonts w:ascii="Arial" w:hAnsi="Arial" w:cs="Arial"/>
        </w:rPr>
        <w:t xml:space="preserve">PC shipments in EMEA </w:t>
      </w:r>
      <w:r w:rsidR="00953A37">
        <w:rPr>
          <w:rFonts w:ascii="Arial" w:hAnsi="Arial" w:cs="Arial"/>
        </w:rPr>
        <w:t>totalled</w:t>
      </w:r>
      <w:r w:rsidRPr="00953A37">
        <w:rPr>
          <w:rFonts w:ascii="Arial" w:hAnsi="Arial" w:cs="Arial"/>
        </w:rPr>
        <w:t xml:space="preserve"> 25.8 million units in the fourth quarter of 2013, a 6.7 </w:t>
      </w:r>
      <w:r w:rsidR="00953A37" w:rsidRPr="00953A37">
        <w:rPr>
          <w:rFonts w:ascii="Arial" w:hAnsi="Arial" w:cs="Arial"/>
        </w:rPr>
        <w:t>per cent</w:t>
      </w:r>
      <w:r w:rsidRPr="00953A37">
        <w:rPr>
          <w:rFonts w:ascii="Arial" w:hAnsi="Arial" w:cs="Arial"/>
        </w:rPr>
        <w:t xml:space="preserve"> decline from the same period last year. However, the decline was less steep than the last seven quarters. </w:t>
      </w:r>
      <w:r w:rsidRPr="00953A37">
        <w:rPr>
          <w:rFonts w:ascii="Arial" w:hAnsi="Arial" w:cs="Arial"/>
          <w:bdr w:val="none" w:sz="0" w:space="0" w:color="auto" w:frame="1"/>
        </w:rPr>
        <w:t xml:space="preserve">All areas of the region — Western Europe, Eastern Europe and the Middle East and Africa — showed a shipment decline. </w:t>
      </w:r>
      <w:r w:rsidRPr="00953A37">
        <w:rPr>
          <w:rFonts w:ascii="Arial" w:hAnsi="Arial" w:cs="Arial"/>
        </w:rPr>
        <w:t>Shipments in Eastern Europe were driven by the professional segment, as companies had to finali</w:t>
      </w:r>
      <w:r w:rsidR="00520C36">
        <w:rPr>
          <w:rFonts w:ascii="Arial" w:hAnsi="Arial" w:cs="Arial"/>
        </w:rPr>
        <w:t>s</w:t>
      </w:r>
      <w:r w:rsidRPr="00953A37">
        <w:rPr>
          <w:rFonts w:ascii="Arial" w:hAnsi="Arial" w:cs="Arial"/>
        </w:rPr>
        <w:t>e IT spending for the year. Consumers replaced PCs only on a needed basis, as many new form factors had limited availability or were priced about the average vs. traditional notebooks. Tablets, especially Android-based, were a popular holiday present and average selling prices (ASPs) for them continued to decline and attract consumer spending.</w:t>
      </w:r>
    </w:p>
    <w:p w:rsidR="00171731" w:rsidRPr="00953A37" w:rsidRDefault="00171731" w:rsidP="00171731">
      <w:pPr>
        <w:pStyle w:val="contact"/>
        <w:tabs>
          <w:tab w:val="clear" w:pos="9180"/>
        </w:tabs>
        <w:rPr>
          <w:rFonts w:ascii="Arial" w:hAnsi="Arial"/>
        </w:rPr>
      </w:pPr>
    </w:p>
    <w:p w:rsidR="00171731" w:rsidRPr="00953A37" w:rsidRDefault="00171731" w:rsidP="00171731">
      <w:pPr>
        <w:pStyle w:val="contact"/>
        <w:tabs>
          <w:tab w:val="clear" w:pos="9180"/>
        </w:tabs>
        <w:rPr>
          <w:rFonts w:ascii="Arial" w:hAnsi="Arial" w:cs="Arial"/>
          <w:lang w:eastAsia="ja-JP"/>
        </w:rPr>
      </w:pPr>
      <w:r w:rsidRPr="00953A37">
        <w:rPr>
          <w:rFonts w:ascii="Arial" w:hAnsi="Arial" w:cs="Arial"/>
          <w:szCs w:val="22"/>
        </w:rPr>
        <w:t xml:space="preserve">PC shipments in Asia/Pacific </w:t>
      </w:r>
      <w:r w:rsidR="00953A37">
        <w:rPr>
          <w:rFonts w:ascii="Arial" w:hAnsi="Arial" w:cs="Arial"/>
          <w:szCs w:val="22"/>
        </w:rPr>
        <w:t>totalled</w:t>
      </w:r>
      <w:r w:rsidRPr="00953A37">
        <w:rPr>
          <w:rFonts w:ascii="Arial" w:hAnsi="Arial" w:cs="Arial"/>
          <w:szCs w:val="22"/>
        </w:rPr>
        <w:t xml:space="preserve"> 26.5 million units in the fourth quarter of 2013, a 9.8 </w:t>
      </w:r>
      <w:r w:rsidR="00953A37" w:rsidRPr="00953A37">
        <w:rPr>
          <w:rFonts w:ascii="Arial" w:hAnsi="Arial" w:cs="Arial"/>
          <w:szCs w:val="22"/>
        </w:rPr>
        <w:t>per cent</w:t>
      </w:r>
      <w:r w:rsidRPr="00953A37">
        <w:rPr>
          <w:rFonts w:ascii="Arial" w:hAnsi="Arial" w:cs="Arial"/>
          <w:szCs w:val="22"/>
        </w:rPr>
        <w:t xml:space="preserve"> decline from the fourth quarter of 2012. </w:t>
      </w:r>
      <w:r w:rsidRPr="00953A37">
        <w:rPr>
          <w:rFonts w:ascii="Arial" w:hAnsi="Arial" w:cs="Arial"/>
        </w:rPr>
        <w:t>Buyers did not place a priority on PC purchases, preferring to spend on alternative devices such as smartphones. Some continued to delay their purchases of a PC as their requirements, such as entertainment and information access, can be addressed by other devices, such as tablets.</w:t>
      </w:r>
    </w:p>
    <w:p w:rsidR="00171731" w:rsidRPr="00953A37" w:rsidRDefault="00171731" w:rsidP="00171731">
      <w:pPr>
        <w:pStyle w:val="contact"/>
        <w:tabs>
          <w:tab w:val="clear" w:pos="9180"/>
        </w:tabs>
        <w:rPr>
          <w:rFonts w:ascii="Arial" w:hAnsi="Arial" w:cs="Arial"/>
          <w:lang w:eastAsia="ja-JP"/>
        </w:rPr>
      </w:pPr>
    </w:p>
    <w:p w:rsidR="00171731" w:rsidRPr="00953A37" w:rsidRDefault="00171731" w:rsidP="00171731">
      <w:pPr>
        <w:pStyle w:val="contact"/>
        <w:tabs>
          <w:tab w:val="clear" w:pos="9180"/>
        </w:tabs>
        <w:rPr>
          <w:rFonts w:ascii="Arial" w:hAnsi="Arial"/>
        </w:rPr>
      </w:pPr>
      <w:r w:rsidRPr="00953A37">
        <w:rPr>
          <w:rFonts w:ascii="Arial" w:hAnsi="Arial" w:cs="Arial"/>
          <w:lang w:eastAsia="ja-JP"/>
        </w:rPr>
        <w:t xml:space="preserve">For the year, </w:t>
      </w:r>
      <w:r w:rsidRPr="00953A37">
        <w:rPr>
          <w:rFonts w:ascii="Arial" w:hAnsi="Arial"/>
        </w:rPr>
        <w:t xml:space="preserve">PC shipments were 315.9 million units, a 10 </w:t>
      </w:r>
      <w:r w:rsidR="00953A37" w:rsidRPr="00953A37">
        <w:rPr>
          <w:rFonts w:ascii="Arial" w:hAnsi="Arial"/>
        </w:rPr>
        <w:t>per cent</w:t>
      </w:r>
      <w:r w:rsidRPr="00953A37">
        <w:rPr>
          <w:rFonts w:ascii="Arial" w:hAnsi="Arial"/>
        </w:rPr>
        <w:t xml:space="preserve"> decline from 2012 (see Table 3). This is the worst decline in PC market history, equal to the shipment level in 2009. Lenovo took over the top spot in the global PC market, accounting for 16.9 </w:t>
      </w:r>
      <w:r w:rsidR="00953A37" w:rsidRPr="00953A37">
        <w:rPr>
          <w:rFonts w:ascii="Arial" w:hAnsi="Arial"/>
        </w:rPr>
        <w:t>per cent</w:t>
      </w:r>
      <w:r w:rsidRPr="00953A37">
        <w:rPr>
          <w:rFonts w:ascii="Arial" w:hAnsi="Arial"/>
        </w:rPr>
        <w:t xml:space="preserve"> of the market. HP moved into the second spot after experiencing shipment decline of 9.3 </w:t>
      </w:r>
      <w:r w:rsidR="00953A37" w:rsidRPr="00953A37">
        <w:rPr>
          <w:rFonts w:ascii="Arial" w:hAnsi="Arial"/>
        </w:rPr>
        <w:t>per cent</w:t>
      </w:r>
      <w:r w:rsidRPr="00953A37">
        <w:rPr>
          <w:rFonts w:ascii="Arial" w:hAnsi="Arial"/>
        </w:rPr>
        <w:t>.</w:t>
      </w:r>
    </w:p>
    <w:p w:rsidR="00171731" w:rsidRPr="00953A37" w:rsidRDefault="00171731" w:rsidP="00171731">
      <w:pPr>
        <w:pStyle w:val="contact"/>
        <w:tabs>
          <w:tab w:val="clear" w:pos="9180"/>
        </w:tabs>
        <w:rPr>
          <w:rFonts w:ascii="Arial" w:hAnsi="Arial"/>
        </w:rPr>
      </w:pPr>
    </w:p>
    <w:p w:rsidR="00171731" w:rsidRPr="00953A37" w:rsidRDefault="00171731" w:rsidP="00171731">
      <w:pPr>
        <w:jc w:val="left"/>
        <w:rPr>
          <w:b/>
          <w:sz w:val="22"/>
        </w:rPr>
      </w:pPr>
      <w:r w:rsidRPr="00953A37">
        <w:rPr>
          <w:b/>
          <w:sz w:val="22"/>
        </w:rPr>
        <w:lastRenderedPageBreak/>
        <w:t>Table 3</w:t>
      </w:r>
      <w:r w:rsidRPr="00953A37">
        <w:rPr>
          <w:b/>
          <w:sz w:val="22"/>
        </w:rPr>
        <w:br/>
        <w:t>Preliminary Worldwide PC Vendor Unit Shipment Estimates for 2013 (Units)</w:t>
      </w:r>
    </w:p>
    <w:tbl>
      <w:tblPr>
        <w:tblW w:w="10368" w:type="dxa"/>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970"/>
        <w:gridCol w:w="1620"/>
        <w:gridCol w:w="1471"/>
        <w:gridCol w:w="1387"/>
        <w:gridCol w:w="1533"/>
        <w:gridCol w:w="1387"/>
      </w:tblGrid>
      <w:tr w:rsidR="00171731" w:rsidRPr="00953A37" w:rsidTr="00463471">
        <w:tblPrEx>
          <w:tblCellMar>
            <w:top w:w="0" w:type="dxa"/>
            <w:bottom w:w="0" w:type="dxa"/>
          </w:tblCellMar>
        </w:tblPrEx>
        <w:tc>
          <w:tcPr>
            <w:tcW w:w="2970" w:type="dxa"/>
            <w:tcBorders>
              <w:top w:val="single" w:sz="6" w:space="0" w:color="auto"/>
              <w:bottom w:val="single" w:sz="6" w:space="0" w:color="auto"/>
            </w:tcBorders>
          </w:tcPr>
          <w:p w:rsidR="00171731" w:rsidRPr="00953A37" w:rsidRDefault="00171731" w:rsidP="00463471">
            <w:pPr>
              <w:pStyle w:val="HeadingJustified"/>
              <w:tabs>
                <w:tab w:val="decimal" w:pos="990"/>
                <w:tab w:val="decimal" w:pos="2070"/>
                <w:tab w:val="left" w:pos="2880"/>
                <w:tab w:val="decimal" w:pos="4140"/>
                <w:tab w:val="decimal" w:pos="4860"/>
                <w:tab w:val="decimal" w:pos="7020"/>
                <w:tab w:val="decimal" w:pos="7110"/>
              </w:tabs>
              <w:rPr>
                <w:rFonts w:cs="Arial"/>
              </w:rPr>
            </w:pPr>
            <w:r w:rsidRPr="00953A37">
              <w:rPr>
                <w:rFonts w:cs="Arial"/>
                <w:b w:val="0"/>
              </w:rPr>
              <w:br/>
            </w:r>
            <w:r w:rsidRPr="00953A37">
              <w:rPr>
                <w:rFonts w:cs="Arial"/>
              </w:rPr>
              <w:t>Company</w:t>
            </w:r>
          </w:p>
        </w:tc>
        <w:tc>
          <w:tcPr>
            <w:tcW w:w="1620" w:type="dxa"/>
            <w:tcBorders>
              <w:top w:val="single" w:sz="6" w:space="0" w:color="auto"/>
              <w:bottom w:val="single" w:sz="6" w:space="0" w:color="auto"/>
            </w:tcBorders>
          </w:tcPr>
          <w:p w:rsidR="00171731" w:rsidRPr="00953A37" w:rsidRDefault="00171731" w:rsidP="00463471">
            <w:pPr>
              <w:tabs>
                <w:tab w:val="decimal" w:pos="990"/>
                <w:tab w:val="decimal" w:pos="2070"/>
                <w:tab w:val="left" w:pos="2880"/>
                <w:tab w:val="decimal" w:pos="4140"/>
                <w:tab w:val="decimal" w:pos="4860"/>
                <w:tab w:val="decimal" w:pos="7020"/>
                <w:tab w:val="decimal" w:pos="7110"/>
              </w:tabs>
              <w:jc w:val="right"/>
              <w:rPr>
                <w:rFonts w:cs="Arial"/>
                <w:b/>
              </w:rPr>
            </w:pPr>
            <w:r w:rsidRPr="00953A37">
              <w:rPr>
                <w:rFonts w:cs="Arial"/>
                <w:b/>
              </w:rPr>
              <w:t>2013 Shipments</w:t>
            </w:r>
          </w:p>
        </w:tc>
        <w:tc>
          <w:tcPr>
            <w:tcW w:w="1471" w:type="dxa"/>
            <w:tcBorders>
              <w:top w:val="single" w:sz="6" w:space="0" w:color="auto"/>
              <w:bottom w:val="single" w:sz="6" w:space="0" w:color="auto"/>
            </w:tcBorders>
          </w:tcPr>
          <w:p w:rsidR="00171731" w:rsidRPr="00953A37" w:rsidRDefault="00171731" w:rsidP="00463471">
            <w:pPr>
              <w:tabs>
                <w:tab w:val="decimal" w:pos="990"/>
                <w:tab w:val="decimal" w:pos="2070"/>
                <w:tab w:val="left" w:pos="2880"/>
                <w:tab w:val="decimal" w:pos="4140"/>
                <w:tab w:val="decimal" w:pos="4860"/>
                <w:tab w:val="decimal" w:pos="7020"/>
                <w:tab w:val="decimal" w:pos="7110"/>
              </w:tabs>
              <w:jc w:val="right"/>
              <w:rPr>
                <w:rFonts w:cs="Arial"/>
                <w:b/>
              </w:rPr>
            </w:pPr>
            <w:r w:rsidRPr="00953A37">
              <w:rPr>
                <w:rFonts w:cs="Arial"/>
                <w:b/>
              </w:rPr>
              <w:t>2013 Market Share (%)</w:t>
            </w:r>
          </w:p>
        </w:tc>
        <w:tc>
          <w:tcPr>
            <w:tcW w:w="1387" w:type="dxa"/>
            <w:tcBorders>
              <w:top w:val="single" w:sz="6" w:space="0" w:color="auto"/>
              <w:bottom w:val="single" w:sz="6" w:space="0" w:color="auto"/>
            </w:tcBorders>
          </w:tcPr>
          <w:p w:rsidR="00171731" w:rsidRPr="00953A37" w:rsidRDefault="00171731" w:rsidP="00463471">
            <w:pPr>
              <w:tabs>
                <w:tab w:val="decimal" w:pos="990"/>
                <w:tab w:val="decimal" w:pos="2070"/>
                <w:tab w:val="left" w:pos="2880"/>
                <w:tab w:val="decimal" w:pos="4140"/>
                <w:tab w:val="decimal" w:pos="4860"/>
                <w:tab w:val="decimal" w:pos="7020"/>
                <w:tab w:val="decimal" w:pos="7110"/>
              </w:tabs>
              <w:jc w:val="right"/>
              <w:rPr>
                <w:rFonts w:cs="Arial"/>
                <w:b/>
              </w:rPr>
            </w:pPr>
            <w:r w:rsidRPr="00953A37">
              <w:rPr>
                <w:rFonts w:cs="Arial"/>
                <w:b/>
              </w:rPr>
              <w:t>2012 Shipments</w:t>
            </w:r>
          </w:p>
        </w:tc>
        <w:tc>
          <w:tcPr>
            <w:tcW w:w="1533" w:type="dxa"/>
            <w:tcBorders>
              <w:top w:val="single" w:sz="6" w:space="0" w:color="auto"/>
              <w:bottom w:val="single" w:sz="6" w:space="0" w:color="auto"/>
            </w:tcBorders>
          </w:tcPr>
          <w:p w:rsidR="00171731" w:rsidRPr="00953A37" w:rsidRDefault="00171731" w:rsidP="00463471">
            <w:pPr>
              <w:tabs>
                <w:tab w:val="decimal" w:pos="990"/>
                <w:tab w:val="decimal" w:pos="2070"/>
                <w:tab w:val="left" w:pos="2880"/>
                <w:tab w:val="decimal" w:pos="4140"/>
                <w:tab w:val="decimal" w:pos="4860"/>
                <w:tab w:val="decimal" w:pos="7020"/>
                <w:tab w:val="decimal" w:pos="7110"/>
              </w:tabs>
              <w:jc w:val="right"/>
              <w:rPr>
                <w:rFonts w:cs="Arial"/>
                <w:b/>
              </w:rPr>
            </w:pPr>
            <w:r w:rsidRPr="00953A37">
              <w:rPr>
                <w:rFonts w:cs="Arial"/>
                <w:b/>
              </w:rPr>
              <w:t>2012 Market Share (%)</w:t>
            </w:r>
          </w:p>
        </w:tc>
        <w:tc>
          <w:tcPr>
            <w:tcW w:w="1387" w:type="dxa"/>
            <w:tcBorders>
              <w:top w:val="single" w:sz="6" w:space="0" w:color="auto"/>
              <w:bottom w:val="single" w:sz="6" w:space="0" w:color="auto"/>
            </w:tcBorders>
          </w:tcPr>
          <w:p w:rsidR="00171731" w:rsidRPr="00953A37" w:rsidRDefault="00171731" w:rsidP="00463471">
            <w:pPr>
              <w:tabs>
                <w:tab w:val="decimal" w:pos="990"/>
                <w:tab w:val="decimal" w:pos="2070"/>
                <w:tab w:val="left" w:pos="2880"/>
                <w:tab w:val="decimal" w:pos="4140"/>
                <w:tab w:val="decimal" w:pos="4860"/>
                <w:tab w:val="decimal" w:pos="7020"/>
                <w:tab w:val="decimal" w:pos="7110"/>
              </w:tabs>
              <w:jc w:val="right"/>
              <w:rPr>
                <w:rFonts w:cs="Arial"/>
                <w:b/>
              </w:rPr>
            </w:pPr>
            <w:r w:rsidRPr="00953A37">
              <w:rPr>
                <w:rFonts w:cs="Arial"/>
                <w:b/>
              </w:rPr>
              <w:t>2013-2012 Growth (%)</w:t>
            </w:r>
          </w:p>
        </w:tc>
      </w:tr>
      <w:tr w:rsidR="00171731" w:rsidRPr="00953A37" w:rsidTr="00463471">
        <w:tblPrEx>
          <w:tblCellMar>
            <w:top w:w="0" w:type="dxa"/>
            <w:bottom w:w="0" w:type="dxa"/>
          </w:tblCellMar>
        </w:tblPrEx>
        <w:tc>
          <w:tcPr>
            <w:tcW w:w="2970" w:type="dxa"/>
            <w:tcBorders>
              <w:top w:val="nil"/>
            </w:tcBorders>
            <w:vAlign w:val="bottom"/>
          </w:tcPr>
          <w:p w:rsidR="00171731" w:rsidRPr="00953A37" w:rsidRDefault="00171731" w:rsidP="00463471">
            <w:pPr>
              <w:rPr>
                <w:rFonts w:cs="Arial"/>
              </w:rPr>
            </w:pPr>
            <w:r w:rsidRPr="00953A37">
              <w:rPr>
                <w:rFonts w:cs="Arial"/>
              </w:rPr>
              <w:t>Lenovo</w:t>
            </w:r>
          </w:p>
        </w:tc>
        <w:tc>
          <w:tcPr>
            <w:tcW w:w="1620" w:type="dxa"/>
            <w:tcBorders>
              <w:top w:val="nil"/>
            </w:tcBorders>
            <w:vAlign w:val="bottom"/>
          </w:tcPr>
          <w:p w:rsidR="00171731" w:rsidRPr="00953A37" w:rsidRDefault="00171731" w:rsidP="00463471">
            <w:pPr>
              <w:jc w:val="right"/>
              <w:rPr>
                <w:rFonts w:cs="Arial"/>
              </w:rPr>
            </w:pPr>
            <w:r w:rsidRPr="00953A37">
              <w:rPr>
                <w:rFonts w:cs="Arial"/>
              </w:rPr>
              <w:t>53,272,522</w:t>
            </w:r>
          </w:p>
        </w:tc>
        <w:tc>
          <w:tcPr>
            <w:tcW w:w="1471" w:type="dxa"/>
            <w:tcBorders>
              <w:top w:val="nil"/>
            </w:tcBorders>
            <w:vAlign w:val="bottom"/>
          </w:tcPr>
          <w:p w:rsidR="00171731" w:rsidRPr="00953A37" w:rsidRDefault="00171731" w:rsidP="00463471">
            <w:pPr>
              <w:jc w:val="right"/>
              <w:rPr>
                <w:rFonts w:cs="Arial"/>
              </w:rPr>
            </w:pPr>
            <w:r w:rsidRPr="00953A37">
              <w:rPr>
                <w:rFonts w:cs="Arial"/>
              </w:rPr>
              <w:t>16.9</w:t>
            </w:r>
          </w:p>
        </w:tc>
        <w:tc>
          <w:tcPr>
            <w:tcW w:w="1387" w:type="dxa"/>
            <w:tcBorders>
              <w:top w:val="nil"/>
            </w:tcBorders>
            <w:vAlign w:val="bottom"/>
          </w:tcPr>
          <w:p w:rsidR="00171731" w:rsidRPr="00953A37" w:rsidRDefault="00171731" w:rsidP="00463471">
            <w:pPr>
              <w:jc w:val="right"/>
              <w:rPr>
                <w:rFonts w:cs="Arial"/>
              </w:rPr>
            </w:pPr>
            <w:r w:rsidRPr="00953A37">
              <w:rPr>
                <w:rFonts w:cs="Arial"/>
              </w:rPr>
              <w:t>52,187,653</w:t>
            </w:r>
          </w:p>
        </w:tc>
        <w:tc>
          <w:tcPr>
            <w:tcW w:w="1533" w:type="dxa"/>
            <w:tcBorders>
              <w:top w:val="nil"/>
            </w:tcBorders>
            <w:vAlign w:val="bottom"/>
          </w:tcPr>
          <w:p w:rsidR="00171731" w:rsidRPr="00953A37" w:rsidRDefault="00171731" w:rsidP="00463471">
            <w:pPr>
              <w:jc w:val="right"/>
              <w:rPr>
                <w:rFonts w:cs="Arial"/>
              </w:rPr>
            </w:pPr>
            <w:r w:rsidRPr="00953A37">
              <w:rPr>
                <w:rFonts w:cs="Arial"/>
              </w:rPr>
              <w:t>14.9</w:t>
            </w:r>
          </w:p>
        </w:tc>
        <w:tc>
          <w:tcPr>
            <w:tcW w:w="1387" w:type="dxa"/>
            <w:tcBorders>
              <w:top w:val="nil"/>
            </w:tcBorders>
            <w:vAlign w:val="bottom"/>
          </w:tcPr>
          <w:p w:rsidR="00171731" w:rsidRPr="00953A37" w:rsidRDefault="00171731" w:rsidP="00463471">
            <w:pPr>
              <w:jc w:val="right"/>
              <w:rPr>
                <w:rFonts w:cs="Arial"/>
              </w:rPr>
            </w:pPr>
            <w:r w:rsidRPr="00953A37">
              <w:rPr>
                <w:rFonts w:cs="Arial"/>
              </w:rPr>
              <w:t>2.1</w:t>
            </w:r>
          </w:p>
        </w:tc>
      </w:tr>
      <w:tr w:rsidR="00171731" w:rsidRPr="00953A37" w:rsidTr="00463471">
        <w:tblPrEx>
          <w:tblCellMar>
            <w:top w:w="0" w:type="dxa"/>
            <w:bottom w:w="0" w:type="dxa"/>
          </w:tblCellMar>
        </w:tblPrEx>
        <w:tc>
          <w:tcPr>
            <w:tcW w:w="2970" w:type="dxa"/>
            <w:vAlign w:val="bottom"/>
          </w:tcPr>
          <w:p w:rsidR="00171731" w:rsidRPr="00953A37" w:rsidRDefault="00171731" w:rsidP="00463471">
            <w:pPr>
              <w:rPr>
                <w:rFonts w:cs="Arial"/>
              </w:rPr>
            </w:pPr>
            <w:r w:rsidRPr="00953A37">
              <w:rPr>
                <w:rFonts w:cs="Arial"/>
              </w:rPr>
              <w:t>HP</w:t>
            </w:r>
          </w:p>
        </w:tc>
        <w:tc>
          <w:tcPr>
            <w:tcW w:w="1620" w:type="dxa"/>
            <w:vAlign w:val="bottom"/>
          </w:tcPr>
          <w:p w:rsidR="00171731" w:rsidRPr="00953A37" w:rsidRDefault="00171731" w:rsidP="00463471">
            <w:pPr>
              <w:jc w:val="right"/>
              <w:rPr>
                <w:rFonts w:cs="Arial"/>
              </w:rPr>
            </w:pPr>
            <w:r w:rsidRPr="00953A37">
              <w:rPr>
                <w:rFonts w:cs="Arial"/>
              </w:rPr>
              <w:t>51,252,229</w:t>
            </w:r>
          </w:p>
        </w:tc>
        <w:tc>
          <w:tcPr>
            <w:tcW w:w="1471" w:type="dxa"/>
            <w:vAlign w:val="bottom"/>
          </w:tcPr>
          <w:p w:rsidR="00171731" w:rsidRPr="00953A37" w:rsidRDefault="00171731" w:rsidP="00463471">
            <w:pPr>
              <w:jc w:val="right"/>
              <w:rPr>
                <w:rFonts w:cs="Arial"/>
              </w:rPr>
            </w:pPr>
            <w:r w:rsidRPr="00953A37">
              <w:rPr>
                <w:rFonts w:cs="Arial"/>
              </w:rPr>
              <w:t>16.2</w:t>
            </w:r>
          </w:p>
        </w:tc>
        <w:tc>
          <w:tcPr>
            <w:tcW w:w="1387" w:type="dxa"/>
            <w:vAlign w:val="bottom"/>
          </w:tcPr>
          <w:p w:rsidR="00171731" w:rsidRPr="00953A37" w:rsidRDefault="00171731" w:rsidP="00463471">
            <w:pPr>
              <w:jc w:val="right"/>
              <w:rPr>
                <w:rFonts w:cs="Arial"/>
              </w:rPr>
            </w:pPr>
            <w:r w:rsidRPr="00953A37">
              <w:rPr>
                <w:rFonts w:cs="Arial"/>
              </w:rPr>
              <w:t>56,505,757</w:t>
            </w:r>
          </w:p>
        </w:tc>
        <w:tc>
          <w:tcPr>
            <w:tcW w:w="1533" w:type="dxa"/>
            <w:vAlign w:val="bottom"/>
          </w:tcPr>
          <w:p w:rsidR="00171731" w:rsidRPr="00953A37" w:rsidRDefault="00171731" w:rsidP="00463471">
            <w:pPr>
              <w:jc w:val="right"/>
              <w:rPr>
                <w:rFonts w:cs="Arial"/>
              </w:rPr>
            </w:pPr>
            <w:r w:rsidRPr="00953A37">
              <w:rPr>
                <w:rFonts w:cs="Arial"/>
              </w:rPr>
              <w:t>16.1</w:t>
            </w:r>
          </w:p>
        </w:tc>
        <w:tc>
          <w:tcPr>
            <w:tcW w:w="1387" w:type="dxa"/>
            <w:vAlign w:val="bottom"/>
          </w:tcPr>
          <w:p w:rsidR="00171731" w:rsidRPr="00953A37" w:rsidRDefault="00171731" w:rsidP="00463471">
            <w:pPr>
              <w:jc w:val="right"/>
              <w:rPr>
                <w:rFonts w:cs="Arial"/>
              </w:rPr>
            </w:pPr>
            <w:r w:rsidRPr="00953A37">
              <w:rPr>
                <w:rFonts w:cs="Arial"/>
              </w:rPr>
              <w:t>-9.3</w:t>
            </w:r>
          </w:p>
        </w:tc>
      </w:tr>
      <w:tr w:rsidR="00171731" w:rsidRPr="00953A37" w:rsidTr="00463471">
        <w:tblPrEx>
          <w:tblCellMar>
            <w:top w:w="0" w:type="dxa"/>
            <w:bottom w:w="0" w:type="dxa"/>
          </w:tblCellMar>
        </w:tblPrEx>
        <w:tc>
          <w:tcPr>
            <w:tcW w:w="2970" w:type="dxa"/>
            <w:vAlign w:val="bottom"/>
          </w:tcPr>
          <w:p w:rsidR="00171731" w:rsidRPr="00953A37" w:rsidRDefault="00171731" w:rsidP="00463471">
            <w:pPr>
              <w:rPr>
                <w:rFonts w:cs="Arial"/>
              </w:rPr>
            </w:pPr>
            <w:r w:rsidRPr="00953A37">
              <w:rPr>
                <w:rFonts w:cs="Arial"/>
              </w:rPr>
              <w:t>Dell</w:t>
            </w:r>
          </w:p>
        </w:tc>
        <w:tc>
          <w:tcPr>
            <w:tcW w:w="1620" w:type="dxa"/>
            <w:vAlign w:val="bottom"/>
          </w:tcPr>
          <w:p w:rsidR="00171731" w:rsidRPr="00953A37" w:rsidRDefault="00171731" w:rsidP="00463471">
            <w:pPr>
              <w:jc w:val="right"/>
              <w:rPr>
                <w:rFonts w:cs="Arial"/>
              </w:rPr>
            </w:pPr>
            <w:r w:rsidRPr="00953A37">
              <w:rPr>
                <w:rFonts w:cs="Arial"/>
              </w:rPr>
              <w:t>36,788,285</w:t>
            </w:r>
          </w:p>
        </w:tc>
        <w:tc>
          <w:tcPr>
            <w:tcW w:w="1471" w:type="dxa"/>
            <w:vAlign w:val="bottom"/>
          </w:tcPr>
          <w:p w:rsidR="00171731" w:rsidRPr="00953A37" w:rsidRDefault="00171731" w:rsidP="00463471">
            <w:pPr>
              <w:jc w:val="right"/>
              <w:rPr>
                <w:rFonts w:cs="Arial"/>
              </w:rPr>
            </w:pPr>
            <w:r w:rsidRPr="00953A37">
              <w:rPr>
                <w:rFonts w:cs="Arial"/>
              </w:rPr>
              <w:t>11.6</w:t>
            </w:r>
          </w:p>
        </w:tc>
        <w:tc>
          <w:tcPr>
            <w:tcW w:w="1387" w:type="dxa"/>
            <w:vAlign w:val="bottom"/>
          </w:tcPr>
          <w:p w:rsidR="00171731" w:rsidRPr="00953A37" w:rsidRDefault="00171731" w:rsidP="00463471">
            <w:pPr>
              <w:jc w:val="right"/>
              <w:rPr>
                <w:rFonts w:cs="Arial"/>
              </w:rPr>
            </w:pPr>
            <w:r w:rsidRPr="00953A37">
              <w:rPr>
                <w:rFonts w:cs="Arial"/>
              </w:rPr>
              <w:t>37,611,247</w:t>
            </w:r>
          </w:p>
        </w:tc>
        <w:tc>
          <w:tcPr>
            <w:tcW w:w="1533" w:type="dxa"/>
            <w:vAlign w:val="bottom"/>
          </w:tcPr>
          <w:p w:rsidR="00171731" w:rsidRPr="00953A37" w:rsidRDefault="00171731" w:rsidP="00463471">
            <w:pPr>
              <w:jc w:val="right"/>
              <w:rPr>
                <w:rFonts w:cs="Arial"/>
              </w:rPr>
            </w:pPr>
            <w:r w:rsidRPr="00953A37">
              <w:rPr>
                <w:rFonts w:cs="Arial"/>
              </w:rPr>
              <w:t>10.7</w:t>
            </w:r>
          </w:p>
        </w:tc>
        <w:tc>
          <w:tcPr>
            <w:tcW w:w="1387" w:type="dxa"/>
            <w:vAlign w:val="bottom"/>
          </w:tcPr>
          <w:p w:rsidR="00171731" w:rsidRPr="00953A37" w:rsidRDefault="00171731" w:rsidP="00463471">
            <w:pPr>
              <w:jc w:val="right"/>
              <w:rPr>
                <w:rFonts w:cs="Arial"/>
              </w:rPr>
            </w:pPr>
            <w:r w:rsidRPr="00953A37">
              <w:rPr>
                <w:rFonts w:cs="Arial"/>
              </w:rPr>
              <w:t>-2.2</w:t>
            </w:r>
          </w:p>
        </w:tc>
      </w:tr>
      <w:tr w:rsidR="00171731" w:rsidRPr="00953A37" w:rsidTr="00463471">
        <w:tblPrEx>
          <w:tblCellMar>
            <w:top w:w="0" w:type="dxa"/>
            <w:bottom w:w="0" w:type="dxa"/>
          </w:tblCellMar>
        </w:tblPrEx>
        <w:tc>
          <w:tcPr>
            <w:tcW w:w="2970" w:type="dxa"/>
            <w:vAlign w:val="bottom"/>
          </w:tcPr>
          <w:p w:rsidR="00171731" w:rsidRPr="00953A37" w:rsidRDefault="00171731" w:rsidP="00463471">
            <w:pPr>
              <w:rPr>
                <w:rFonts w:cs="Arial"/>
              </w:rPr>
            </w:pPr>
            <w:r w:rsidRPr="00953A37">
              <w:rPr>
                <w:rFonts w:cs="Arial"/>
              </w:rPr>
              <w:t>Acer Group</w:t>
            </w:r>
          </w:p>
        </w:tc>
        <w:tc>
          <w:tcPr>
            <w:tcW w:w="1620" w:type="dxa"/>
            <w:vAlign w:val="bottom"/>
          </w:tcPr>
          <w:p w:rsidR="00171731" w:rsidRPr="00953A37" w:rsidRDefault="00171731" w:rsidP="00463471">
            <w:pPr>
              <w:jc w:val="right"/>
              <w:rPr>
                <w:rFonts w:cs="Arial"/>
              </w:rPr>
            </w:pPr>
            <w:r w:rsidRPr="00953A37">
              <w:rPr>
                <w:rFonts w:cs="Arial"/>
              </w:rPr>
              <w:t>25,689,496</w:t>
            </w:r>
          </w:p>
        </w:tc>
        <w:tc>
          <w:tcPr>
            <w:tcW w:w="1471" w:type="dxa"/>
            <w:vAlign w:val="bottom"/>
          </w:tcPr>
          <w:p w:rsidR="00171731" w:rsidRPr="00953A37" w:rsidRDefault="00171731" w:rsidP="00463471">
            <w:pPr>
              <w:jc w:val="right"/>
              <w:rPr>
                <w:rFonts w:cs="Arial"/>
              </w:rPr>
            </w:pPr>
            <w:r w:rsidRPr="00953A37">
              <w:rPr>
                <w:rFonts w:cs="Arial"/>
              </w:rPr>
              <w:t>8.1</w:t>
            </w:r>
          </w:p>
        </w:tc>
        <w:tc>
          <w:tcPr>
            <w:tcW w:w="1387" w:type="dxa"/>
            <w:vAlign w:val="bottom"/>
          </w:tcPr>
          <w:p w:rsidR="00171731" w:rsidRPr="00953A37" w:rsidRDefault="00171731" w:rsidP="00463471">
            <w:pPr>
              <w:jc w:val="right"/>
              <w:rPr>
                <w:rFonts w:cs="Arial"/>
              </w:rPr>
            </w:pPr>
            <w:r w:rsidRPr="00953A37">
              <w:rPr>
                <w:rFonts w:cs="Arial"/>
              </w:rPr>
              <w:t>35,745,401</w:t>
            </w:r>
          </w:p>
        </w:tc>
        <w:tc>
          <w:tcPr>
            <w:tcW w:w="1533" w:type="dxa"/>
            <w:vAlign w:val="bottom"/>
          </w:tcPr>
          <w:p w:rsidR="00171731" w:rsidRPr="00953A37" w:rsidRDefault="00171731" w:rsidP="00463471">
            <w:pPr>
              <w:jc w:val="right"/>
              <w:rPr>
                <w:rFonts w:cs="Arial"/>
              </w:rPr>
            </w:pPr>
            <w:r w:rsidRPr="00953A37">
              <w:rPr>
                <w:rFonts w:cs="Arial"/>
              </w:rPr>
              <w:t>10.2</w:t>
            </w:r>
          </w:p>
        </w:tc>
        <w:tc>
          <w:tcPr>
            <w:tcW w:w="1387" w:type="dxa"/>
            <w:vAlign w:val="bottom"/>
          </w:tcPr>
          <w:p w:rsidR="00171731" w:rsidRPr="00953A37" w:rsidRDefault="00171731" w:rsidP="00463471">
            <w:pPr>
              <w:jc w:val="right"/>
              <w:rPr>
                <w:rFonts w:cs="Arial"/>
              </w:rPr>
            </w:pPr>
            <w:r w:rsidRPr="00953A37">
              <w:rPr>
                <w:rFonts w:cs="Arial"/>
              </w:rPr>
              <w:t>-28.1</w:t>
            </w:r>
          </w:p>
        </w:tc>
      </w:tr>
      <w:tr w:rsidR="00171731" w:rsidRPr="00953A37" w:rsidTr="00463471">
        <w:tblPrEx>
          <w:tblCellMar>
            <w:top w:w="0" w:type="dxa"/>
            <w:bottom w:w="0" w:type="dxa"/>
          </w:tblCellMar>
        </w:tblPrEx>
        <w:tc>
          <w:tcPr>
            <w:tcW w:w="2970" w:type="dxa"/>
            <w:vAlign w:val="bottom"/>
          </w:tcPr>
          <w:p w:rsidR="00171731" w:rsidRPr="00953A37" w:rsidRDefault="00171731" w:rsidP="00463471">
            <w:pPr>
              <w:rPr>
                <w:rFonts w:cs="Arial"/>
              </w:rPr>
            </w:pPr>
            <w:r w:rsidRPr="00953A37">
              <w:rPr>
                <w:rFonts w:cs="Arial"/>
              </w:rPr>
              <w:t>Asus</w:t>
            </w:r>
          </w:p>
        </w:tc>
        <w:tc>
          <w:tcPr>
            <w:tcW w:w="1620" w:type="dxa"/>
            <w:vAlign w:val="bottom"/>
          </w:tcPr>
          <w:p w:rsidR="00171731" w:rsidRPr="00953A37" w:rsidRDefault="00171731" w:rsidP="00463471">
            <w:pPr>
              <w:jc w:val="right"/>
              <w:rPr>
                <w:rFonts w:cs="Arial"/>
              </w:rPr>
            </w:pPr>
            <w:r w:rsidRPr="00953A37">
              <w:rPr>
                <w:rFonts w:cs="Arial"/>
              </w:rPr>
              <w:t>20,030,837</w:t>
            </w:r>
          </w:p>
        </w:tc>
        <w:tc>
          <w:tcPr>
            <w:tcW w:w="1471" w:type="dxa"/>
            <w:vAlign w:val="bottom"/>
          </w:tcPr>
          <w:p w:rsidR="00171731" w:rsidRPr="00953A37" w:rsidRDefault="00171731" w:rsidP="00463471">
            <w:pPr>
              <w:jc w:val="right"/>
              <w:rPr>
                <w:rFonts w:cs="Arial"/>
              </w:rPr>
            </w:pPr>
            <w:r w:rsidRPr="00953A37">
              <w:rPr>
                <w:rFonts w:cs="Arial"/>
              </w:rPr>
              <w:t>6.3</w:t>
            </w:r>
          </w:p>
        </w:tc>
        <w:tc>
          <w:tcPr>
            <w:tcW w:w="1387" w:type="dxa"/>
            <w:vAlign w:val="bottom"/>
          </w:tcPr>
          <w:p w:rsidR="00171731" w:rsidRPr="00953A37" w:rsidRDefault="00171731" w:rsidP="00463471">
            <w:pPr>
              <w:jc w:val="right"/>
              <w:rPr>
                <w:rFonts w:cs="Arial"/>
              </w:rPr>
            </w:pPr>
            <w:r w:rsidRPr="00953A37">
              <w:rPr>
                <w:rFonts w:cs="Arial"/>
              </w:rPr>
              <w:t>24,339,951</w:t>
            </w:r>
          </w:p>
        </w:tc>
        <w:tc>
          <w:tcPr>
            <w:tcW w:w="1533" w:type="dxa"/>
            <w:vAlign w:val="bottom"/>
          </w:tcPr>
          <w:p w:rsidR="00171731" w:rsidRPr="00953A37" w:rsidRDefault="00171731" w:rsidP="00463471">
            <w:pPr>
              <w:jc w:val="right"/>
              <w:rPr>
                <w:rFonts w:cs="Arial"/>
              </w:rPr>
            </w:pPr>
            <w:r w:rsidRPr="00953A37">
              <w:rPr>
                <w:rFonts w:cs="Arial"/>
              </w:rPr>
              <w:t>6.9</w:t>
            </w:r>
          </w:p>
        </w:tc>
        <w:tc>
          <w:tcPr>
            <w:tcW w:w="1387" w:type="dxa"/>
            <w:vAlign w:val="bottom"/>
          </w:tcPr>
          <w:p w:rsidR="00171731" w:rsidRPr="00953A37" w:rsidRDefault="00171731" w:rsidP="00463471">
            <w:pPr>
              <w:jc w:val="right"/>
              <w:rPr>
                <w:rFonts w:cs="Arial"/>
              </w:rPr>
            </w:pPr>
            <w:r w:rsidRPr="00953A37">
              <w:rPr>
                <w:rFonts w:cs="Arial"/>
              </w:rPr>
              <w:t>-17.7</w:t>
            </w:r>
          </w:p>
        </w:tc>
      </w:tr>
      <w:tr w:rsidR="00171731" w:rsidRPr="00953A37" w:rsidTr="00463471">
        <w:tblPrEx>
          <w:tblCellMar>
            <w:top w:w="0" w:type="dxa"/>
            <w:bottom w:w="0" w:type="dxa"/>
          </w:tblCellMar>
        </w:tblPrEx>
        <w:tc>
          <w:tcPr>
            <w:tcW w:w="2970" w:type="dxa"/>
            <w:vAlign w:val="bottom"/>
          </w:tcPr>
          <w:p w:rsidR="00171731" w:rsidRPr="00953A37" w:rsidRDefault="00171731" w:rsidP="00463471">
            <w:pPr>
              <w:rPr>
                <w:rFonts w:cs="Arial"/>
              </w:rPr>
            </w:pPr>
            <w:r w:rsidRPr="00953A37">
              <w:rPr>
                <w:rFonts w:cs="Arial"/>
              </w:rPr>
              <w:t>Others</w:t>
            </w:r>
          </w:p>
        </w:tc>
        <w:tc>
          <w:tcPr>
            <w:tcW w:w="1620" w:type="dxa"/>
            <w:vAlign w:val="bottom"/>
          </w:tcPr>
          <w:p w:rsidR="00171731" w:rsidRPr="00953A37" w:rsidRDefault="00171731" w:rsidP="00463471">
            <w:pPr>
              <w:jc w:val="right"/>
              <w:rPr>
                <w:rFonts w:cs="Arial"/>
              </w:rPr>
            </w:pPr>
            <w:r w:rsidRPr="00953A37">
              <w:rPr>
                <w:rFonts w:cs="Arial"/>
              </w:rPr>
              <w:t>128,934,147</w:t>
            </w:r>
          </w:p>
        </w:tc>
        <w:tc>
          <w:tcPr>
            <w:tcW w:w="1471" w:type="dxa"/>
            <w:vAlign w:val="bottom"/>
          </w:tcPr>
          <w:p w:rsidR="00171731" w:rsidRPr="00953A37" w:rsidRDefault="00171731" w:rsidP="00463471">
            <w:pPr>
              <w:jc w:val="right"/>
              <w:rPr>
                <w:rFonts w:cs="Arial"/>
              </w:rPr>
            </w:pPr>
            <w:r w:rsidRPr="00953A37">
              <w:rPr>
                <w:rFonts w:cs="Arial"/>
              </w:rPr>
              <w:t>40.8</w:t>
            </w:r>
          </w:p>
        </w:tc>
        <w:tc>
          <w:tcPr>
            <w:tcW w:w="1387" w:type="dxa"/>
            <w:vAlign w:val="bottom"/>
          </w:tcPr>
          <w:p w:rsidR="00171731" w:rsidRPr="00953A37" w:rsidRDefault="00171731" w:rsidP="00463471">
            <w:pPr>
              <w:jc w:val="right"/>
              <w:rPr>
                <w:rFonts w:cs="Arial"/>
              </w:rPr>
            </w:pPr>
            <w:r w:rsidRPr="00953A37">
              <w:rPr>
                <w:rFonts w:cs="Arial"/>
              </w:rPr>
              <w:t>144,669,689</w:t>
            </w:r>
          </w:p>
        </w:tc>
        <w:tc>
          <w:tcPr>
            <w:tcW w:w="1533" w:type="dxa"/>
            <w:vAlign w:val="bottom"/>
          </w:tcPr>
          <w:p w:rsidR="00171731" w:rsidRPr="00953A37" w:rsidRDefault="00171731" w:rsidP="00463471">
            <w:pPr>
              <w:jc w:val="right"/>
              <w:rPr>
                <w:rFonts w:cs="Arial"/>
              </w:rPr>
            </w:pPr>
            <w:r w:rsidRPr="00953A37">
              <w:rPr>
                <w:rFonts w:cs="Arial"/>
              </w:rPr>
              <w:t>41.2</w:t>
            </w:r>
          </w:p>
        </w:tc>
        <w:tc>
          <w:tcPr>
            <w:tcW w:w="1387" w:type="dxa"/>
            <w:vAlign w:val="bottom"/>
          </w:tcPr>
          <w:p w:rsidR="00171731" w:rsidRPr="00953A37" w:rsidRDefault="00171731" w:rsidP="00463471">
            <w:pPr>
              <w:jc w:val="right"/>
              <w:rPr>
                <w:rFonts w:cs="Arial"/>
              </w:rPr>
            </w:pPr>
            <w:r w:rsidRPr="00953A37">
              <w:rPr>
                <w:rFonts w:cs="Arial"/>
              </w:rPr>
              <w:t>-10.9</w:t>
            </w:r>
          </w:p>
        </w:tc>
      </w:tr>
      <w:tr w:rsidR="00171731" w:rsidRPr="00953A37" w:rsidTr="00463471">
        <w:tblPrEx>
          <w:tblCellMar>
            <w:top w:w="0" w:type="dxa"/>
            <w:bottom w:w="0" w:type="dxa"/>
          </w:tblCellMar>
        </w:tblPrEx>
        <w:tc>
          <w:tcPr>
            <w:tcW w:w="2970" w:type="dxa"/>
            <w:vAlign w:val="bottom"/>
          </w:tcPr>
          <w:p w:rsidR="00171731" w:rsidRPr="00953A37" w:rsidRDefault="00171731" w:rsidP="00463471">
            <w:pPr>
              <w:rPr>
                <w:rFonts w:cs="Arial"/>
                <w:b/>
                <w:bCs/>
              </w:rPr>
            </w:pPr>
            <w:r w:rsidRPr="00953A37">
              <w:rPr>
                <w:rFonts w:cs="Arial"/>
                <w:b/>
                <w:bCs/>
              </w:rPr>
              <w:t>Grand Total</w:t>
            </w:r>
          </w:p>
        </w:tc>
        <w:tc>
          <w:tcPr>
            <w:tcW w:w="1620" w:type="dxa"/>
            <w:vAlign w:val="bottom"/>
          </w:tcPr>
          <w:p w:rsidR="00171731" w:rsidRPr="00953A37" w:rsidRDefault="00171731" w:rsidP="00463471">
            <w:pPr>
              <w:jc w:val="right"/>
              <w:rPr>
                <w:rFonts w:cs="Arial"/>
                <w:b/>
              </w:rPr>
            </w:pPr>
            <w:r w:rsidRPr="00953A37">
              <w:rPr>
                <w:rFonts w:cs="Arial"/>
                <w:b/>
              </w:rPr>
              <w:t>315,967,516</w:t>
            </w:r>
          </w:p>
        </w:tc>
        <w:tc>
          <w:tcPr>
            <w:tcW w:w="1471" w:type="dxa"/>
            <w:vAlign w:val="bottom"/>
          </w:tcPr>
          <w:p w:rsidR="00171731" w:rsidRPr="00953A37" w:rsidRDefault="00171731" w:rsidP="00463471">
            <w:pPr>
              <w:jc w:val="right"/>
              <w:rPr>
                <w:rFonts w:cs="Arial"/>
                <w:b/>
              </w:rPr>
            </w:pPr>
            <w:r w:rsidRPr="00953A37">
              <w:rPr>
                <w:rFonts w:cs="Arial"/>
                <w:b/>
              </w:rPr>
              <w:t>100.0</w:t>
            </w:r>
          </w:p>
        </w:tc>
        <w:tc>
          <w:tcPr>
            <w:tcW w:w="1387" w:type="dxa"/>
            <w:vAlign w:val="bottom"/>
          </w:tcPr>
          <w:p w:rsidR="00171731" w:rsidRPr="00953A37" w:rsidRDefault="00171731" w:rsidP="00463471">
            <w:pPr>
              <w:jc w:val="right"/>
              <w:rPr>
                <w:rFonts w:cs="Arial"/>
                <w:b/>
              </w:rPr>
            </w:pPr>
            <w:r w:rsidRPr="00953A37">
              <w:rPr>
                <w:rFonts w:cs="Arial"/>
                <w:b/>
              </w:rPr>
              <w:t>351,059,698</w:t>
            </w:r>
          </w:p>
        </w:tc>
        <w:tc>
          <w:tcPr>
            <w:tcW w:w="1533" w:type="dxa"/>
            <w:vAlign w:val="bottom"/>
          </w:tcPr>
          <w:p w:rsidR="00171731" w:rsidRPr="00953A37" w:rsidRDefault="00171731" w:rsidP="00463471">
            <w:pPr>
              <w:jc w:val="right"/>
              <w:rPr>
                <w:rFonts w:cs="Arial"/>
                <w:b/>
              </w:rPr>
            </w:pPr>
            <w:r w:rsidRPr="00953A37">
              <w:rPr>
                <w:rFonts w:cs="Arial"/>
                <w:b/>
              </w:rPr>
              <w:t>100.0</w:t>
            </w:r>
          </w:p>
        </w:tc>
        <w:tc>
          <w:tcPr>
            <w:tcW w:w="1387" w:type="dxa"/>
            <w:vAlign w:val="bottom"/>
          </w:tcPr>
          <w:p w:rsidR="00171731" w:rsidRPr="00953A37" w:rsidRDefault="00171731" w:rsidP="00463471">
            <w:pPr>
              <w:jc w:val="right"/>
              <w:rPr>
                <w:rFonts w:cs="Arial"/>
                <w:b/>
              </w:rPr>
            </w:pPr>
            <w:r w:rsidRPr="00953A37">
              <w:rPr>
                <w:rFonts w:cs="Arial"/>
                <w:b/>
              </w:rPr>
              <w:t>-10.0</w:t>
            </w:r>
          </w:p>
        </w:tc>
      </w:tr>
    </w:tbl>
    <w:p w:rsidR="00171731" w:rsidRPr="00953A37" w:rsidRDefault="00171731" w:rsidP="00171731">
      <w:pPr>
        <w:jc w:val="left"/>
        <w:rPr>
          <w:sz w:val="16"/>
          <w:szCs w:val="16"/>
        </w:rPr>
      </w:pPr>
      <w:r w:rsidRPr="00953A37">
        <w:rPr>
          <w:sz w:val="16"/>
          <w:szCs w:val="16"/>
        </w:rPr>
        <w:t>Note: Data includes desk-based PCs and mobile PCs, including mini-notebooks but not media tablets such as the iPad. Data</w:t>
      </w:r>
      <w:r w:rsidRPr="00953A37">
        <w:rPr>
          <w:rFonts w:eastAsia="SimSun"/>
          <w:sz w:val="16"/>
          <w:szCs w:val="16"/>
        </w:rPr>
        <w:t xml:space="preserve"> is based on the shipments selling into channels.</w:t>
      </w:r>
    </w:p>
    <w:p w:rsidR="00171731" w:rsidRPr="00953A37" w:rsidRDefault="00171731" w:rsidP="00171731">
      <w:pPr>
        <w:jc w:val="left"/>
        <w:rPr>
          <w:sz w:val="16"/>
        </w:rPr>
      </w:pPr>
      <w:r w:rsidRPr="00953A37">
        <w:rPr>
          <w:sz w:val="16"/>
        </w:rPr>
        <w:t>Source: Gartner (January 2014)</w:t>
      </w:r>
    </w:p>
    <w:p w:rsidR="00953A37" w:rsidRPr="00F16E52" w:rsidRDefault="00953A37" w:rsidP="00953A37">
      <w:pPr>
        <w:jc w:val="left"/>
        <w:rPr>
          <w:b/>
          <w:sz w:val="22"/>
          <w:szCs w:val="22"/>
        </w:rPr>
      </w:pPr>
    </w:p>
    <w:p w:rsidR="00953A37" w:rsidRDefault="00953A37" w:rsidP="00953A37">
      <w:pPr>
        <w:spacing w:before="100" w:beforeAutospacing="1" w:after="100" w:afterAutospacing="1"/>
        <w:rPr>
          <w:rFonts w:cs="Arial"/>
          <w:sz w:val="22"/>
          <w:szCs w:val="22"/>
        </w:rPr>
      </w:pPr>
      <w:bookmarkStart w:id="0" w:name="_GoBack"/>
      <w:bookmarkEnd w:id="0"/>
      <w:r w:rsidRPr="00F16E52">
        <w:rPr>
          <w:rFonts w:cs="Arial"/>
          <w:sz w:val="22"/>
          <w:szCs w:val="22"/>
        </w:rPr>
        <w:t>PC shipments in EMEA</w:t>
      </w:r>
      <w:r>
        <w:rPr>
          <w:rFonts w:cs="Arial"/>
          <w:sz w:val="22"/>
          <w:szCs w:val="22"/>
        </w:rPr>
        <w:t xml:space="preserve"> totalled 26 million units in the fourth quarter of 2013, a</w:t>
      </w:r>
      <w:r w:rsidRPr="00F16E52">
        <w:rPr>
          <w:rFonts w:cs="Arial"/>
          <w:sz w:val="22"/>
          <w:szCs w:val="22"/>
        </w:rPr>
        <w:t xml:space="preserve"> </w:t>
      </w:r>
      <w:bookmarkStart w:id="1" w:name="141a14a3bd4eba9d__GoBack"/>
      <w:bookmarkEnd w:id="1"/>
      <w:r>
        <w:rPr>
          <w:rFonts w:cs="Arial"/>
          <w:sz w:val="22"/>
          <w:szCs w:val="22"/>
        </w:rPr>
        <w:t>decline of 6.7 per cent from</w:t>
      </w:r>
      <w:r w:rsidRPr="00F16E52">
        <w:rPr>
          <w:rFonts w:cs="Arial"/>
          <w:sz w:val="22"/>
          <w:szCs w:val="22"/>
        </w:rPr>
        <w:t xml:space="preserve"> the same period last year (see Table </w:t>
      </w:r>
      <w:r w:rsidR="00D777DB">
        <w:rPr>
          <w:rFonts w:cs="Arial"/>
          <w:sz w:val="22"/>
          <w:szCs w:val="22"/>
        </w:rPr>
        <w:t>4</w:t>
      </w:r>
      <w:r w:rsidRPr="00F16E52">
        <w:rPr>
          <w:rFonts w:cs="Arial"/>
          <w:sz w:val="22"/>
          <w:szCs w:val="22"/>
        </w:rPr>
        <w:t>)</w:t>
      </w:r>
      <w:r>
        <w:rPr>
          <w:rFonts w:cs="Arial"/>
          <w:sz w:val="22"/>
          <w:szCs w:val="22"/>
        </w:rPr>
        <w:t>.</w:t>
      </w:r>
    </w:p>
    <w:p w:rsidR="00953A37" w:rsidRPr="00F16E52" w:rsidRDefault="00953A37" w:rsidP="00953A37">
      <w:pPr>
        <w:spacing w:before="100" w:beforeAutospacing="1" w:after="100" w:afterAutospacing="1"/>
        <w:rPr>
          <w:sz w:val="22"/>
          <w:szCs w:val="22"/>
        </w:rPr>
      </w:pPr>
      <w:r>
        <w:rPr>
          <w:rFonts w:cs="Arial"/>
          <w:sz w:val="22"/>
          <w:szCs w:val="22"/>
        </w:rPr>
        <w:t>"The decline was</w:t>
      </w:r>
      <w:r w:rsidRPr="00F16E52">
        <w:rPr>
          <w:rFonts w:cs="Arial"/>
          <w:sz w:val="22"/>
          <w:szCs w:val="22"/>
        </w:rPr>
        <w:t xml:space="preserve"> less steep than </w:t>
      </w:r>
      <w:r>
        <w:rPr>
          <w:rFonts w:cs="Arial"/>
          <w:sz w:val="22"/>
          <w:szCs w:val="22"/>
        </w:rPr>
        <w:t xml:space="preserve">the previous seven quarters, and we even saw PC shipments increase </w:t>
      </w:r>
      <w:r w:rsidRPr="00F16E52">
        <w:rPr>
          <w:rFonts w:cs="Arial"/>
          <w:sz w:val="22"/>
          <w:szCs w:val="22"/>
        </w:rPr>
        <w:t>17.7 per</w:t>
      </w:r>
      <w:r>
        <w:rPr>
          <w:rFonts w:cs="Arial"/>
          <w:sz w:val="22"/>
          <w:szCs w:val="22"/>
        </w:rPr>
        <w:t xml:space="preserve"> cent over the previous quarter in EMEA," said </w:t>
      </w:r>
      <w:r w:rsidRPr="00F16E52">
        <w:rPr>
          <w:rFonts w:cs="Arial"/>
          <w:sz w:val="22"/>
          <w:szCs w:val="22"/>
        </w:rPr>
        <w:t>Isabelle Durand, principal research analyst at Gartner.</w:t>
      </w:r>
      <w:r>
        <w:rPr>
          <w:rFonts w:cs="Arial"/>
          <w:sz w:val="22"/>
          <w:szCs w:val="22"/>
        </w:rPr>
        <w:t xml:space="preserve"> </w:t>
      </w:r>
      <w:r w:rsidRPr="00F16E52">
        <w:rPr>
          <w:rFonts w:cs="Arial"/>
          <w:sz w:val="22"/>
          <w:szCs w:val="22"/>
        </w:rPr>
        <w:t>A good perfor</w:t>
      </w:r>
      <w:r>
        <w:rPr>
          <w:rFonts w:cs="Arial"/>
          <w:sz w:val="22"/>
          <w:szCs w:val="22"/>
        </w:rPr>
        <w:t>mance of</w:t>
      </w:r>
      <w:r w:rsidRPr="00F16E52">
        <w:rPr>
          <w:rFonts w:cs="Arial"/>
          <w:sz w:val="22"/>
          <w:szCs w:val="22"/>
        </w:rPr>
        <w:t xml:space="preserve"> consumer</w:t>
      </w:r>
      <w:r>
        <w:rPr>
          <w:rFonts w:cs="Arial"/>
          <w:sz w:val="22"/>
          <w:szCs w:val="22"/>
        </w:rPr>
        <w:t xml:space="preserve"> sales of</w:t>
      </w:r>
      <w:r w:rsidRPr="00F16E52">
        <w:rPr>
          <w:rFonts w:cs="Arial"/>
          <w:sz w:val="22"/>
          <w:szCs w:val="22"/>
        </w:rPr>
        <w:t xml:space="preserve"> laptops and </w:t>
      </w:r>
      <w:proofErr w:type="spellStart"/>
      <w:r w:rsidRPr="00F16E52">
        <w:rPr>
          <w:rFonts w:cs="Arial"/>
          <w:sz w:val="22"/>
          <w:szCs w:val="22"/>
        </w:rPr>
        <w:t>ultrabooks</w:t>
      </w:r>
      <w:proofErr w:type="spellEnd"/>
      <w:r w:rsidRPr="00F16E52">
        <w:rPr>
          <w:rFonts w:cs="Arial"/>
          <w:sz w:val="22"/>
          <w:szCs w:val="22"/>
        </w:rPr>
        <w:t xml:space="preserve"> led to quarter</w:t>
      </w:r>
      <w:r>
        <w:rPr>
          <w:rFonts w:cs="Arial"/>
          <w:sz w:val="22"/>
          <w:szCs w:val="22"/>
        </w:rPr>
        <w:t>-</w:t>
      </w:r>
      <w:r w:rsidRPr="00F16E52">
        <w:rPr>
          <w:rFonts w:cs="Arial"/>
          <w:sz w:val="22"/>
          <w:szCs w:val="22"/>
        </w:rPr>
        <w:t>o</w:t>
      </w:r>
      <w:r>
        <w:rPr>
          <w:rFonts w:cs="Arial"/>
          <w:sz w:val="22"/>
          <w:szCs w:val="22"/>
        </w:rPr>
        <w:t>ver-</w:t>
      </w:r>
      <w:r w:rsidRPr="00F16E52">
        <w:rPr>
          <w:rFonts w:cs="Arial"/>
          <w:sz w:val="22"/>
          <w:szCs w:val="22"/>
        </w:rPr>
        <w:t>quarter gro</w:t>
      </w:r>
      <w:r>
        <w:rPr>
          <w:rFonts w:cs="Arial"/>
          <w:sz w:val="22"/>
          <w:szCs w:val="22"/>
        </w:rPr>
        <w:t>wth</w:t>
      </w:r>
      <w:r w:rsidRPr="00F16E52">
        <w:rPr>
          <w:rFonts w:cs="Arial"/>
          <w:sz w:val="22"/>
          <w:szCs w:val="22"/>
        </w:rPr>
        <w:t>, as more hybrid ultramobiles were available at lower price points,</w:t>
      </w:r>
      <w:r>
        <w:rPr>
          <w:rFonts w:cs="Arial"/>
          <w:sz w:val="22"/>
          <w:szCs w:val="22"/>
        </w:rPr>
        <w:t xml:space="preserve"> which put</w:t>
      </w:r>
      <w:r w:rsidRPr="00F16E52">
        <w:rPr>
          <w:rFonts w:cs="Arial"/>
          <w:sz w:val="22"/>
          <w:szCs w:val="22"/>
        </w:rPr>
        <w:t xml:space="preserve"> pressure on </w:t>
      </w:r>
      <w:r>
        <w:rPr>
          <w:rFonts w:cs="Arial"/>
          <w:sz w:val="22"/>
          <w:szCs w:val="22"/>
        </w:rPr>
        <w:t>the premium tablet market.</w:t>
      </w:r>
      <w:r w:rsidRPr="00F16E52">
        <w:rPr>
          <w:rFonts w:cs="Arial"/>
          <w:sz w:val="22"/>
          <w:szCs w:val="22"/>
        </w:rPr>
        <w:t xml:space="preserve"> "This confirms the ongoing transition in the market</w:t>
      </w:r>
      <w:r>
        <w:rPr>
          <w:rFonts w:cs="Arial"/>
          <w:sz w:val="22"/>
          <w:szCs w:val="22"/>
        </w:rPr>
        <w:t>,</w:t>
      </w:r>
      <w:r w:rsidRPr="00F16E52">
        <w:rPr>
          <w:rFonts w:cs="Arial"/>
          <w:sz w:val="22"/>
          <w:szCs w:val="22"/>
        </w:rPr>
        <w:t xml:space="preserve"> but </w:t>
      </w:r>
      <w:r>
        <w:rPr>
          <w:rFonts w:cs="Arial"/>
          <w:sz w:val="22"/>
          <w:szCs w:val="22"/>
        </w:rPr>
        <w:t xml:space="preserve">it </w:t>
      </w:r>
      <w:r w:rsidRPr="00F16E52">
        <w:rPr>
          <w:rFonts w:cs="Arial"/>
          <w:sz w:val="22"/>
          <w:szCs w:val="22"/>
        </w:rPr>
        <w:t>may also signal that we</w:t>
      </w:r>
      <w:r>
        <w:rPr>
          <w:rFonts w:cs="Arial"/>
          <w:sz w:val="22"/>
          <w:szCs w:val="22"/>
        </w:rPr>
        <w:t xml:space="preserve"> are reaching the end of a</w:t>
      </w:r>
      <w:r w:rsidRPr="00F16E52">
        <w:rPr>
          <w:rFonts w:cs="Arial"/>
          <w:sz w:val="22"/>
          <w:szCs w:val="22"/>
        </w:rPr>
        <w:t xml:space="preserve"> period of readjust</w:t>
      </w:r>
      <w:r>
        <w:rPr>
          <w:rFonts w:cs="Arial"/>
          <w:sz w:val="22"/>
          <w:szCs w:val="22"/>
        </w:rPr>
        <w:t xml:space="preserve">ment </w:t>
      </w:r>
      <w:r w:rsidR="004A4A97">
        <w:rPr>
          <w:rFonts w:cs="Arial"/>
          <w:sz w:val="22"/>
          <w:szCs w:val="22"/>
        </w:rPr>
        <w:t xml:space="preserve">in EMEA </w:t>
      </w:r>
      <w:r>
        <w:rPr>
          <w:rFonts w:cs="Arial"/>
          <w:sz w:val="22"/>
          <w:szCs w:val="22"/>
        </w:rPr>
        <w:t>that started two years ago,</w:t>
      </w:r>
      <w:r w:rsidRPr="00F16E52">
        <w:rPr>
          <w:rFonts w:cs="Arial"/>
          <w:sz w:val="22"/>
          <w:szCs w:val="22"/>
        </w:rPr>
        <w:t>"</w:t>
      </w:r>
      <w:r>
        <w:rPr>
          <w:rFonts w:cs="Arial"/>
          <w:sz w:val="22"/>
          <w:szCs w:val="22"/>
        </w:rPr>
        <w:t xml:space="preserve"> added Ms Durand.</w:t>
      </w:r>
    </w:p>
    <w:p w:rsidR="00953A37" w:rsidRPr="00F16E52" w:rsidRDefault="00953A37" w:rsidP="00953A37">
      <w:pPr>
        <w:spacing w:before="100" w:beforeAutospacing="1" w:after="100" w:afterAutospacing="1"/>
        <w:rPr>
          <w:sz w:val="22"/>
          <w:szCs w:val="22"/>
        </w:rPr>
      </w:pPr>
      <w:r w:rsidRPr="00F16E52">
        <w:rPr>
          <w:rFonts w:cs="Arial"/>
          <w:sz w:val="22"/>
          <w:szCs w:val="22"/>
          <w:bdr w:val="none" w:sz="0" w:space="0" w:color="auto" w:frame="1"/>
        </w:rPr>
        <w:t>Western Europe, Eastern Europe and the Middle East and Africa</w:t>
      </w:r>
      <w:r>
        <w:rPr>
          <w:rFonts w:cs="Arial"/>
          <w:sz w:val="22"/>
          <w:szCs w:val="22"/>
          <w:bdr w:val="none" w:sz="0" w:space="0" w:color="auto" w:frame="1"/>
        </w:rPr>
        <w:t xml:space="preserve"> region</w:t>
      </w:r>
      <w:r w:rsidRPr="00F16E52">
        <w:rPr>
          <w:rFonts w:cs="Arial"/>
          <w:sz w:val="22"/>
          <w:szCs w:val="22"/>
          <w:bdr w:val="none" w:sz="0" w:space="0" w:color="auto" w:frame="1"/>
        </w:rPr>
        <w:t xml:space="preserve"> all showed shipment decline</w:t>
      </w:r>
      <w:r>
        <w:rPr>
          <w:rFonts w:cs="Arial"/>
          <w:sz w:val="22"/>
          <w:szCs w:val="22"/>
          <w:bdr w:val="none" w:sz="0" w:space="0" w:color="auto" w:frame="1"/>
        </w:rPr>
        <w:t>s in the fourth quarter of 2013</w:t>
      </w:r>
      <w:r w:rsidRPr="00F16E52">
        <w:rPr>
          <w:rFonts w:cs="Arial"/>
          <w:sz w:val="22"/>
          <w:szCs w:val="22"/>
          <w:bdr w:val="none" w:sz="0" w:space="0" w:color="auto" w:frame="1"/>
        </w:rPr>
        <w:t>. "</w:t>
      </w:r>
      <w:r w:rsidRPr="00F16E52">
        <w:rPr>
          <w:rFonts w:cs="Arial"/>
          <w:sz w:val="22"/>
          <w:szCs w:val="22"/>
        </w:rPr>
        <w:t>In Eastern Europe</w:t>
      </w:r>
      <w:r>
        <w:rPr>
          <w:rFonts w:cs="Arial"/>
          <w:sz w:val="22"/>
          <w:szCs w:val="22"/>
        </w:rPr>
        <w:t>,</w:t>
      </w:r>
      <w:r w:rsidRPr="00F16E52">
        <w:rPr>
          <w:rFonts w:cs="Arial"/>
          <w:sz w:val="22"/>
          <w:szCs w:val="22"/>
        </w:rPr>
        <w:t xml:space="preserve"> the decline has slowed to single</w:t>
      </w:r>
      <w:r>
        <w:rPr>
          <w:rFonts w:cs="Arial"/>
          <w:sz w:val="22"/>
          <w:szCs w:val="22"/>
        </w:rPr>
        <w:t>-</w:t>
      </w:r>
      <w:r w:rsidRPr="00F16E52">
        <w:rPr>
          <w:rFonts w:cs="Arial"/>
          <w:sz w:val="22"/>
          <w:szCs w:val="22"/>
        </w:rPr>
        <w:t>digi</w:t>
      </w:r>
      <w:r>
        <w:rPr>
          <w:rFonts w:cs="Arial"/>
          <w:sz w:val="22"/>
          <w:szCs w:val="22"/>
        </w:rPr>
        <w:t>t numbers</w:t>
      </w:r>
      <w:r w:rsidRPr="00F16E52">
        <w:rPr>
          <w:rFonts w:cs="Arial"/>
          <w:sz w:val="22"/>
          <w:szCs w:val="22"/>
        </w:rPr>
        <w:t xml:space="preserve"> in most countries, where shipments were driven by the professional</w:t>
      </w:r>
      <w:r>
        <w:rPr>
          <w:rFonts w:cs="Arial"/>
          <w:sz w:val="22"/>
          <w:szCs w:val="22"/>
        </w:rPr>
        <w:t xml:space="preserve"> PC</w:t>
      </w:r>
      <w:r w:rsidRPr="00F16E52">
        <w:rPr>
          <w:rFonts w:cs="Arial"/>
          <w:sz w:val="22"/>
          <w:szCs w:val="22"/>
        </w:rPr>
        <w:t xml:space="preserve"> segment</w:t>
      </w:r>
      <w:r>
        <w:rPr>
          <w:rFonts w:cs="Arial"/>
          <w:sz w:val="22"/>
          <w:szCs w:val="22"/>
        </w:rPr>
        <w:t>,</w:t>
      </w:r>
      <w:r w:rsidRPr="00F16E52">
        <w:rPr>
          <w:rFonts w:cs="Arial"/>
          <w:sz w:val="22"/>
          <w:szCs w:val="22"/>
        </w:rPr>
        <w:t>" said Ranjit Atwal, research director at Gartner. "The strength of the consumer mobile PC segment was mostly apparent in Western Europe, whereas in Eastern Europe the declining prices of Android tablets made them the preferred choice of Christmas present for consumers over PCs</w:t>
      </w:r>
      <w:r>
        <w:rPr>
          <w:rFonts w:cs="Arial"/>
          <w:sz w:val="22"/>
          <w:szCs w:val="22"/>
        </w:rPr>
        <w:t>.</w:t>
      </w:r>
      <w:r w:rsidRPr="00F16E52">
        <w:rPr>
          <w:rFonts w:cs="Arial"/>
          <w:sz w:val="22"/>
          <w:szCs w:val="22"/>
        </w:rPr>
        <w:t>"</w:t>
      </w:r>
    </w:p>
    <w:p w:rsidR="00953A37" w:rsidRPr="00F16E52" w:rsidRDefault="00953A37" w:rsidP="00953A37">
      <w:pPr>
        <w:jc w:val="left"/>
        <w:rPr>
          <w:rFonts w:cs="Arial"/>
          <w:sz w:val="22"/>
          <w:szCs w:val="22"/>
        </w:rPr>
      </w:pPr>
      <w:r>
        <w:rPr>
          <w:rFonts w:cs="Arial"/>
          <w:sz w:val="22"/>
          <w:szCs w:val="22"/>
        </w:rPr>
        <w:t xml:space="preserve">In the fourth quarter of 2013, </w:t>
      </w:r>
      <w:r w:rsidRPr="00F16E52">
        <w:rPr>
          <w:rFonts w:cs="Arial"/>
          <w:sz w:val="22"/>
          <w:szCs w:val="22"/>
        </w:rPr>
        <w:t>HP retained the top position in the PC market in EMEA. Lenovo had a sixth consecutive quarter of growth</w:t>
      </w:r>
      <w:r>
        <w:rPr>
          <w:rFonts w:cs="Arial"/>
          <w:sz w:val="22"/>
          <w:szCs w:val="22"/>
        </w:rPr>
        <w:t xml:space="preserve"> (increasing 23.7 per cent)</w:t>
      </w:r>
      <w:r w:rsidRPr="00F16E52">
        <w:rPr>
          <w:rFonts w:cs="Arial"/>
          <w:sz w:val="22"/>
          <w:szCs w:val="22"/>
        </w:rPr>
        <w:t>, which helped</w:t>
      </w:r>
      <w:r>
        <w:rPr>
          <w:rFonts w:cs="Arial"/>
          <w:sz w:val="22"/>
          <w:szCs w:val="22"/>
        </w:rPr>
        <w:t xml:space="preserve"> it maintain the No. 2 spot in the fourth quarter of 2013. It is</w:t>
      </w:r>
      <w:r w:rsidRPr="00F16E52">
        <w:rPr>
          <w:rFonts w:cs="Arial"/>
          <w:sz w:val="22"/>
          <w:szCs w:val="22"/>
        </w:rPr>
        <w:t xml:space="preserve"> </w:t>
      </w:r>
      <w:r>
        <w:rPr>
          <w:rFonts w:cs="Arial"/>
          <w:sz w:val="22"/>
          <w:szCs w:val="22"/>
        </w:rPr>
        <w:t xml:space="preserve">also </w:t>
      </w:r>
      <w:r w:rsidRPr="00F16E52">
        <w:rPr>
          <w:rFonts w:cs="Arial"/>
          <w:sz w:val="22"/>
          <w:szCs w:val="22"/>
        </w:rPr>
        <w:t>the only</w:t>
      </w:r>
      <w:r>
        <w:rPr>
          <w:rFonts w:cs="Arial"/>
          <w:sz w:val="22"/>
          <w:szCs w:val="22"/>
        </w:rPr>
        <w:t xml:space="preserve"> one of</w:t>
      </w:r>
      <w:r w:rsidRPr="00F16E52">
        <w:rPr>
          <w:rFonts w:cs="Arial"/>
          <w:sz w:val="22"/>
          <w:szCs w:val="22"/>
        </w:rPr>
        <w:t xml:space="preserve"> </w:t>
      </w:r>
      <w:r>
        <w:rPr>
          <w:rFonts w:cs="Arial"/>
          <w:sz w:val="22"/>
          <w:szCs w:val="22"/>
        </w:rPr>
        <w:t xml:space="preserve">the </w:t>
      </w:r>
      <w:r w:rsidRPr="00F16E52">
        <w:rPr>
          <w:rFonts w:cs="Arial"/>
          <w:sz w:val="22"/>
          <w:szCs w:val="22"/>
        </w:rPr>
        <w:t>top five vendor</w:t>
      </w:r>
      <w:r>
        <w:rPr>
          <w:rFonts w:cs="Arial"/>
          <w:sz w:val="22"/>
          <w:szCs w:val="22"/>
        </w:rPr>
        <w:t>s</w:t>
      </w:r>
      <w:r w:rsidRPr="00F16E52">
        <w:rPr>
          <w:rFonts w:cs="Arial"/>
          <w:sz w:val="22"/>
          <w:szCs w:val="22"/>
        </w:rPr>
        <w:t xml:space="preserve"> in EMEA to show double</w:t>
      </w:r>
      <w:r>
        <w:rPr>
          <w:rFonts w:cs="Arial"/>
          <w:sz w:val="22"/>
          <w:szCs w:val="22"/>
        </w:rPr>
        <w:t>-</w:t>
      </w:r>
      <w:r w:rsidRPr="00F16E52">
        <w:rPr>
          <w:rFonts w:cs="Arial"/>
          <w:sz w:val="22"/>
          <w:szCs w:val="22"/>
        </w:rPr>
        <w:t xml:space="preserve">digit growth as its new </w:t>
      </w:r>
      <w:proofErr w:type="spellStart"/>
      <w:r w:rsidRPr="00F16E52">
        <w:rPr>
          <w:rFonts w:cs="Arial"/>
          <w:sz w:val="22"/>
          <w:szCs w:val="22"/>
        </w:rPr>
        <w:t>ultramobile</w:t>
      </w:r>
      <w:proofErr w:type="spellEnd"/>
      <w:r w:rsidRPr="00F16E52">
        <w:rPr>
          <w:rFonts w:cs="Arial"/>
          <w:sz w:val="22"/>
          <w:szCs w:val="22"/>
        </w:rPr>
        <w:t xml:space="preserve"> products were well rec</w:t>
      </w:r>
      <w:r>
        <w:rPr>
          <w:rFonts w:cs="Arial"/>
          <w:sz w:val="22"/>
          <w:szCs w:val="22"/>
        </w:rPr>
        <w:t>eived in the marketplace. While high demand for Asus'</w:t>
      </w:r>
      <w:r w:rsidRPr="00F16E52">
        <w:rPr>
          <w:rFonts w:cs="Arial"/>
          <w:sz w:val="22"/>
          <w:szCs w:val="22"/>
        </w:rPr>
        <w:t xml:space="preserve"> Transformer Book T100 mo</w:t>
      </w:r>
      <w:r>
        <w:rPr>
          <w:rFonts w:cs="Arial"/>
          <w:sz w:val="22"/>
          <w:szCs w:val="22"/>
        </w:rPr>
        <w:t>del drove quarter-over-quarter growth of 28 per cent, Asus achieved a decline of 14.1 per cent in the fourth quarter of 2013.</w:t>
      </w:r>
    </w:p>
    <w:p w:rsidR="00953A37" w:rsidRDefault="00953A37" w:rsidP="00953A37">
      <w:pPr>
        <w:jc w:val="left"/>
        <w:rPr>
          <w:b/>
          <w:sz w:val="22"/>
          <w:szCs w:val="22"/>
        </w:rPr>
      </w:pPr>
    </w:p>
    <w:p w:rsidR="00953A37" w:rsidRPr="00710ACB" w:rsidRDefault="00953A37" w:rsidP="00953A37">
      <w:pPr>
        <w:jc w:val="left"/>
        <w:rPr>
          <w:b/>
          <w:sz w:val="22"/>
        </w:rPr>
      </w:pPr>
      <w:r w:rsidRPr="00710ACB">
        <w:rPr>
          <w:b/>
          <w:sz w:val="22"/>
          <w:szCs w:val="22"/>
        </w:rPr>
        <w:t>Table</w:t>
      </w:r>
      <w:r w:rsidRPr="00710ACB">
        <w:rPr>
          <w:b/>
          <w:sz w:val="22"/>
        </w:rPr>
        <w:t xml:space="preserve"> </w:t>
      </w:r>
      <w:r w:rsidR="00D777DB">
        <w:rPr>
          <w:b/>
          <w:sz w:val="22"/>
        </w:rPr>
        <w:t>4</w:t>
      </w:r>
      <w:r w:rsidRPr="00710ACB">
        <w:rPr>
          <w:b/>
          <w:sz w:val="22"/>
        </w:rPr>
        <w:br/>
        <w:t xml:space="preserve">Preliminary </w:t>
      </w:r>
      <w:r>
        <w:rPr>
          <w:b/>
          <w:sz w:val="22"/>
        </w:rPr>
        <w:t>EMEA</w:t>
      </w:r>
      <w:r w:rsidRPr="00710ACB">
        <w:rPr>
          <w:b/>
          <w:sz w:val="22"/>
        </w:rPr>
        <w:t xml:space="preserve"> PC Vendor Unit Shipment Estimates for </w:t>
      </w:r>
      <w:r>
        <w:rPr>
          <w:b/>
          <w:sz w:val="22"/>
        </w:rPr>
        <w:t>4</w:t>
      </w:r>
      <w:r w:rsidRPr="00710ACB">
        <w:rPr>
          <w:b/>
          <w:sz w:val="22"/>
        </w:rPr>
        <w:t>Q13 (Units)</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168"/>
        <w:gridCol w:w="1440"/>
        <w:gridCol w:w="1512"/>
        <w:gridCol w:w="1368"/>
        <w:gridCol w:w="1512"/>
        <w:gridCol w:w="1368"/>
      </w:tblGrid>
      <w:tr w:rsidR="00953A37" w:rsidRPr="00710ACB" w:rsidTr="002A7EC6">
        <w:tc>
          <w:tcPr>
            <w:tcW w:w="3168" w:type="dxa"/>
            <w:tcBorders>
              <w:top w:val="single" w:sz="6" w:space="0" w:color="auto"/>
              <w:bottom w:val="single" w:sz="6" w:space="0" w:color="auto"/>
            </w:tcBorders>
          </w:tcPr>
          <w:p w:rsidR="00953A37" w:rsidRPr="008132D7" w:rsidRDefault="00953A37" w:rsidP="002A7EC6">
            <w:pPr>
              <w:pStyle w:val="HeadingJustified"/>
              <w:tabs>
                <w:tab w:val="decimal" w:pos="990"/>
                <w:tab w:val="decimal" w:pos="2070"/>
                <w:tab w:val="left" w:pos="2880"/>
                <w:tab w:val="decimal" w:pos="4140"/>
                <w:tab w:val="decimal" w:pos="4860"/>
                <w:tab w:val="decimal" w:pos="7020"/>
                <w:tab w:val="decimal" w:pos="7110"/>
              </w:tabs>
              <w:rPr>
                <w:rFonts w:cs="Arial"/>
              </w:rPr>
            </w:pPr>
            <w:r w:rsidRPr="008132D7">
              <w:rPr>
                <w:rFonts w:cs="Arial"/>
                <w:b w:val="0"/>
              </w:rPr>
              <w:br/>
            </w:r>
            <w:r w:rsidRPr="008132D7">
              <w:rPr>
                <w:rFonts w:cs="Arial"/>
              </w:rPr>
              <w:t>Company</w:t>
            </w:r>
          </w:p>
        </w:tc>
        <w:tc>
          <w:tcPr>
            <w:tcW w:w="1440" w:type="dxa"/>
            <w:tcBorders>
              <w:top w:val="single" w:sz="6" w:space="0" w:color="auto"/>
              <w:bottom w:val="single" w:sz="6" w:space="0" w:color="auto"/>
            </w:tcBorders>
          </w:tcPr>
          <w:p w:rsidR="00953A37" w:rsidRPr="008132D7" w:rsidRDefault="00953A37" w:rsidP="002A7EC6">
            <w:pPr>
              <w:tabs>
                <w:tab w:val="decimal" w:pos="990"/>
                <w:tab w:val="decimal" w:pos="2070"/>
                <w:tab w:val="left" w:pos="2880"/>
                <w:tab w:val="decimal" w:pos="4140"/>
                <w:tab w:val="decimal" w:pos="4860"/>
                <w:tab w:val="decimal" w:pos="7020"/>
                <w:tab w:val="decimal" w:pos="7110"/>
              </w:tabs>
              <w:jc w:val="right"/>
              <w:rPr>
                <w:rFonts w:cs="Arial"/>
                <w:b/>
              </w:rPr>
            </w:pPr>
            <w:r w:rsidRPr="008132D7">
              <w:rPr>
                <w:rFonts w:cs="Arial"/>
                <w:b/>
              </w:rPr>
              <w:t>4Q13 Shipments</w:t>
            </w:r>
          </w:p>
        </w:tc>
        <w:tc>
          <w:tcPr>
            <w:tcW w:w="1512" w:type="dxa"/>
            <w:tcBorders>
              <w:top w:val="single" w:sz="6" w:space="0" w:color="auto"/>
              <w:bottom w:val="single" w:sz="6" w:space="0" w:color="auto"/>
            </w:tcBorders>
          </w:tcPr>
          <w:p w:rsidR="00953A37" w:rsidRPr="008132D7" w:rsidRDefault="00953A37" w:rsidP="002A7EC6">
            <w:pPr>
              <w:tabs>
                <w:tab w:val="decimal" w:pos="990"/>
                <w:tab w:val="decimal" w:pos="2070"/>
                <w:tab w:val="left" w:pos="2880"/>
                <w:tab w:val="decimal" w:pos="4140"/>
                <w:tab w:val="decimal" w:pos="4860"/>
                <w:tab w:val="decimal" w:pos="7020"/>
                <w:tab w:val="decimal" w:pos="7110"/>
              </w:tabs>
              <w:jc w:val="right"/>
              <w:rPr>
                <w:rFonts w:cs="Arial"/>
                <w:b/>
              </w:rPr>
            </w:pPr>
            <w:r w:rsidRPr="008132D7">
              <w:rPr>
                <w:rFonts w:cs="Arial"/>
                <w:b/>
              </w:rPr>
              <w:t>4Q13 Market Share (%)</w:t>
            </w:r>
          </w:p>
        </w:tc>
        <w:tc>
          <w:tcPr>
            <w:tcW w:w="1368" w:type="dxa"/>
            <w:tcBorders>
              <w:top w:val="single" w:sz="6" w:space="0" w:color="auto"/>
              <w:bottom w:val="single" w:sz="6" w:space="0" w:color="auto"/>
            </w:tcBorders>
          </w:tcPr>
          <w:p w:rsidR="00953A37" w:rsidRPr="008132D7" w:rsidRDefault="00953A37" w:rsidP="002A7EC6">
            <w:pPr>
              <w:tabs>
                <w:tab w:val="decimal" w:pos="990"/>
                <w:tab w:val="decimal" w:pos="2070"/>
                <w:tab w:val="left" w:pos="2880"/>
                <w:tab w:val="decimal" w:pos="4140"/>
                <w:tab w:val="decimal" w:pos="4860"/>
                <w:tab w:val="decimal" w:pos="7020"/>
                <w:tab w:val="decimal" w:pos="7110"/>
              </w:tabs>
              <w:jc w:val="right"/>
              <w:rPr>
                <w:rFonts w:cs="Arial"/>
                <w:b/>
              </w:rPr>
            </w:pPr>
            <w:r w:rsidRPr="008132D7">
              <w:rPr>
                <w:rFonts w:cs="Arial"/>
                <w:b/>
              </w:rPr>
              <w:t>4Q12 Shipments</w:t>
            </w:r>
          </w:p>
        </w:tc>
        <w:tc>
          <w:tcPr>
            <w:tcW w:w="1512" w:type="dxa"/>
            <w:tcBorders>
              <w:top w:val="single" w:sz="6" w:space="0" w:color="auto"/>
              <w:bottom w:val="single" w:sz="6" w:space="0" w:color="auto"/>
            </w:tcBorders>
          </w:tcPr>
          <w:p w:rsidR="00953A37" w:rsidRPr="008132D7" w:rsidRDefault="00953A37" w:rsidP="002A7EC6">
            <w:pPr>
              <w:tabs>
                <w:tab w:val="decimal" w:pos="990"/>
                <w:tab w:val="decimal" w:pos="2070"/>
                <w:tab w:val="left" w:pos="2880"/>
                <w:tab w:val="decimal" w:pos="4140"/>
                <w:tab w:val="decimal" w:pos="4860"/>
                <w:tab w:val="decimal" w:pos="7020"/>
                <w:tab w:val="decimal" w:pos="7110"/>
              </w:tabs>
              <w:jc w:val="right"/>
              <w:rPr>
                <w:rFonts w:cs="Arial"/>
                <w:b/>
              </w:rPr>
            </w:pPr>
            <w:r w:rsidRPr="008132D7">
              <w:rPr>
                <w:rFonts w:cs="Arial"/>
                <w:b/>
              </w:rPr>
              <w:t>4Q12 Market Share (%)</w:t>
            </w:r>
          </w:p>
        </w:tc>
        <w:tc>
          <w:tcPr>
            <w:tcW w:w="1368" w:type="dxa"/>
            <w:tcBorders>
              <w:top w:val="single" w:sz="6" w:space="0" w:color="auto"/>
              <w:bottom w:val="single" w:sz="6" w:space="0" w:color="auto"/>
            </w:tcBorders>
          </w:tcPr>
          <w:p w:rsidR="00953A37" w:rsidRPr="008132D7" w:rsidRDefault="00953A37" w:rsidP="00D777DB">
            <w:pPr>
              <w:tabs>
                <w:tab w:val="decimal" w:pos="990"/>
                <w:tab w:val="decimal" w:pos="2070"/>
                <w:tab w:val="left" w:pos="2880"/>
                <w:tab w:val="decimal" w:pos="4140"/>
                <w:tab w:val="decimal" w:pos="4860"/>
                <w:tab w:val="decimal" w:pos="7020"/>
                <w:tab w:val="decimal" w:pos="7110"/>
              </w:tabs>
              <w:jc w:val="right"/>
              <w:rPr>
                <w:rFonts w:cs="Arial"/>
                <w:b/>
              </w:rPr>
            </w:pPr>
            <w:r w:rsidRPr="008132D7">
              <w:rPr>
                <w:rFonts w:cs="Arial"/>
                <w:b/>
              </w:rPr>
              <w:t>4Q1</w:t>
            </w:r>
            <w:r w:rsidR="00D777DB">
              <w:rPr>
                <w:rFonts w:cs="Arial"/>
                <w:b/>
              </w:rPr>
              <w:t>3</w:t>
            </w:r>
            <w:r w:rsidRPr="008132D7">
              <w:rPr>
                <w:rFonts w:cs="Arial"/>
                <w:b/>
              </w:rPr>
              <w:t>-4Q1</w:t>
            </w:r>
            <w:r w:rsidR="00D777DB">
              <w:rPr>
                <w:rFonts w:cs="Arial"/>
                <w:b/>
              </w:rPr>
              <w:t>2</w:t>
            </w:r>
            <w:r w:rsidRPr="008132D7">
              <w:rPr>
                <w:rFonts w:cs="Arial"/>
                <w:b/>
              </w:rPr>
              <w:t xml:space="preserve"> Growth (%)</w:t>
            </w:r>
          </w:p>
        </w:tc>
      </w:tr>
      <w:tr w:rsidR="00953A37" w:rsidRPr="00710ACB" w:rsidTr="002A7EC6">
        <w:tc>
          <w:tcPr>
            <w:tcW w:w="3168" w:type="dxa"/>
            <w:tcBorders>
              <w:top w:val="nil"/>
            </w:tcBorders>
            <w:vAlign w:val="bottom"/>
          </w:tcPr>
          <w:p w:rsidR="00953A37" w:rsidRPr="008132D7" w:rsidRDefault="00953A37" w:rsidP="002A7EC6">
            <w:pPr>
              <w:rPr>
                <w:rFonts w:cs="Arial"/>
              </w:rPr>
            </w:pPr>
            <w:r w:rsidRPr="008132D7">
              <w:rPr>
                <w:rFonts w:cs="Arial"/>
              </w:rPr>
              <w:t>HP</w:t>
            </w:r>
          </w:p>
        </w:tc>
        <w:tc>
          <w:tcPr>
            <w:tcW w:w="1440" w:type="dxa"/>
            <w:tcBorders>
              <w:top w:val="nil"/>
            </w:tcBorders>
            <w:vAlign w:val="bottom"/>
          </w:tcPr>
          <w:p w:rsidR="00953A37" w:rsidRPr="008132D7" w:rsidRDefault="00953A37" w:rsidP="002A7EC6">
            <w:pPr>
              <w:jc w:val="right"/>
              <w:rPr>
                <w:rFonts w:cs="Arial"/>
              </w:rPr>
            </w:pPr>
            <w:r w:rsidRPr="008132D7">
              <w:rPr>
                <w:rFonts w:cs="Arial"/>
              </w:rPr>
              <w:t>5,096,395</w:t>
            </w:r>
          </w:p>
        </w:tc>
        <w:tc>
          <w:tcPr>
            <w:tcW w:w="1512" w:type="dxa"/>
            <w:tcBorders>
              <w:top w:val="nil"/>
            </w:tcBorders>
            <w:vAlign w:val="bottom"/>
          </w:tcPr>
          <w:p w:rsidR="00953A37" w:rsidRPr="008132D7" w:rsidRDefault="00953A37" w:rsidP="002A7EC6">
            <w:pPr>
              <w:jc w:val="right"/>
              <w:rPr>
                <w:rFonts w:cs="Arial"/>
              </w:rPr>
            </w:pPr>
            <w:r w:rsidRPr="008132D7">
              <w:rPr>
                <w:rFonts w:cs="Arial"/>
              </w:rPr>
              <w:t>19.7</w:t>
            </w:r>
          </w:p>
        </w:tc>
        <w:tc>
          <w:tcPr>
            <w:tcW w:w="1368" w:type="dxa"/>
            <w:tcBorders>
              <w:top w:val="nil"/>
            </w:tcBorders>
            <w:vAlign w:val="bottom"/>
          </w:tcPr>
          <w:p w:rsidR="00953A37" w:rsidRPr="008132D7" w:rsidRDefault="00953A37" w:rsidP="002A7EC6">
            <w:pPr>
              <w:jc w:val="right"/>
              <w:rPr>
                <w:rFonts w:cs="Arial"/>
              </w:rPr>
            </w:pPr>
            <w:r w:rsidRPr="008132D7">
              <w:rPr>
                <w:rFonts w:cs="Arial"/>
              </w:rPr>
              <w:t>5,346,902</w:t>
            </w:r>
          </w:p>
        </w:tc>
        <w:tc>
          <w:tcPr>
            <w:tcW w:w="1512" w:type="dxa"/>
            <w:tcBorders>
              <w:top w:val="nil"/>
            </w:tcBorders>
            <w:vAlign w:val="bottom"/>
          </w:tcPr>
          <w:p w:rsidR="00953A37" w:rsidRPr="008132D7" w:rsidRDefault="00953A37" w:rsidP="002A7EC6">
            <w:pPr>
              <w:jc w:val="right"/>
              <w:rPr>
                <w:rFonts w:cs="Arial"/>
              </w:rPr>
            </w:pPr>
            <w:r w:rsidRPr="008132D7">
              <w:rPr>
                <w:rFonts w:cs="Arial"/>
              </w:rPr>
              <w:t>19.3</w:t>
            </w:r>
          </w:p>
        </w:tc>
        <w:tc>
          <w:tcPr>
            <w:tcW w:w="1368" w:type="dxa"/>
            <w:tcBorders>
              <w:top w:val="nil"/>
            </w:tcBorders>
            <w:vAlign w:val="bottom"/>
          </w:tcPr>
          <w:p w:rsidR="00953A37" w:rsidRPr="008132D7" w:rsidRDefault="00953A37" w:rsidP="002A7EC6">
            <w:pPr>
              <w:jc w:val="right"/>
              <w:rPr>
                <w:rFonts w:cs="Arial"/>
              </w:rPr>
            </w:pPr>
            <w:r w:rsidRPr="008132D7">
              <w:rPr>
                <w:rFonts w:cs="Arial"/>
              </w:rPr>
              <w:t>-4.7</w:t>
            </w:r>
          </w:p>
        </w:tc>
      </w:tr>
      <w:tr w:rsidR="00953A37" w:rsidRPr="00710ACB" w:rsidTr="002A7EC6">
        <w:tc>
          <w:tcPr>
            <w:tcW w:w="3168" w:type="dxa"/>
            <w:vAlign w:val="bottom"/>
          </w:tcPr>
          <w:p w:rsidR="00953A37" w:rsidRPr="008132D7" w:rsidRDefault="00953A37" w:rsidP="002A7EC6">
            <w:pPr>
              <w:rPr>
                <w:rFonts w:cs="Arial"/>
              </w:rPr>
            </w:pPr>
            <w:r w:rsidRPr="008132D7">
              <w:rPr>
                <w:rFonts w:cs="Arial"/>
              </w:rPr>
              <w:t>Lenovo</w:t>
            </w:r>
          </w:p>
        </w:tc>
        <w:tc>
          <w:tcPr>
            <w:tcW w:w="1440" w:type="dxa"/>
            <w:vAlign w:val="bottom"/>
          </w:tcPr>
          <w:p w:rsidR="00953A37" w:rsidRPr="008132D7" w:rsidRDefault="00953A37" w:rsidP="002A7EC6">
            <w:pPr>
              <w:jc w:val="right"/>
              <w:rPr>
                <w:rFonts w:cs="Arial"/>
              </w:rPr>
            </w:pPr>
            <w:r w:rsidRPr="008132D7">
              <w:rPr>
                <w:rFonts w:cs="Arial"/>
              </w:rPr>
              <w:t>3,819,979</w:t>
            </w:r>
          </w:p>
        </w:tc>
        <w:tc>
          <w:tcPr>
            <w:tcW w:w="1512" w:type="dxa"/>
            <w:vAlign w:val="bottom"/>
          </w:tcPr>
          <w:p w:rsidR="00953A37" w:rsidRPr="008132D7" w:rsidRDefault="00953A37" w:rsidP="002A7EC6">
            <w:pPr>
              <w:jc w:val="right"/>
              <w:rPr>
                <w:rFonts w:cs="Arial"/>
              </w:rPr>
            </w:pPr>
            <w:r w:rsidRPr="008132D7">
              <w:rPr>
                <w:rFonts w:cs="Arial"/>
              </w:rPr>
              <w:t>14.8</w:t>
            </w:r>
          </w:p>
        </w:tc>
        <w:tc>
          <w:tcPr>
            <w:tcW w:w="1368" w:type="dxa"/>
            <w:vAlign w:val="bottom"/>
          </w:tcPr>
          <w:p w:rsidR="00953A37" w:rsidRPr="008132D7" w:rsidRDefault="00953A37" w:rsidP="002A7EC6">
            <w:pPr>
              <w:jc w:val="right"/>
              <w:rPr>
                <w:rFonts w:cs="Arial"/>
              </w:rPr>
            </w:pPr>
            <w:r w:rsidRPr="008132D7">
              <w:rPr>
                <w:rFonts w:cs="Arial"/>
              </w:rPr>
              <w:t>3,088,862</w:t>
            </w:r>
          </w:p>
        </w:tc>
        <w:tc>
          <w:tcPr>
            <w:tcW w:w="1512" w:type="dxa"/>
            <w:vAlign w:val="bottom"/>
          </w:tcPr>
          <w:p w:rsidR="00953A37" w:rsidRPr="008132D7" w:rsidRDefault="00953A37" w:rsidP="002A7EC6">
            <w:pPr>
              <w:jc w:val="right"/>
              <w:rPr>
                <w:rFonts w:cs="Arial"/>
              </w:rPr>
            </w:pPr>
            <w:r w:rsidRPr="008132D7">
              <w:rPr>
                <w:rFonts w:cs="Arial"/>
              </w:rPr>
              <w:t>11.1</w:t>
            </w:r>
          </w:p>
        </w:tc>
        <w:tc>
          <w:tcPr>
            <w:tcW w:w="1368" w:type="dxa"/>
            <w:vAlign w:val="bottom"/>
          </w:tcPr>
          <w:p w:rsidR="00953A37" w:rsidRPr="008132D7" w:rsidRDefault="00953A37" w:rsidP="002A7EC6">
            <w:pPr>
              <w:jc w:val="right"/>
              <w:rPr>
                <w:rFonts w:cs="Arial"/>
              </w:rPr>
            </w:pPr>
            <w:r w:rsidRPr="008132D7">
              <w:rPr>
                <w:rFonts w:cs="Arial"/>
              </w:rPr>
              <w:t>23.7</w:t>
            </w:r>
          </w:p>
        </w:tc>
      </w:tr>
      <w:tr w:rsidR="00953A37" w:rsidRPr="00710ACB" w:rsidTr="002A7EC6">
        <w:tc>
          <w:tcPr>
            <w:tcW w:w="3168" w:type="dxa"/>
            <w:vAlign w:val="bottom"/>
          </w:tcPr>
          <w:p w:rsidR="00953A37" w:rsidRPr="008132D7" w:rsidRDefault="00953A37" w:rsidP="002A7EC6">
            <w:pPr>
              <w:rPr>
                <w:rFonts w:cs="Arial"/>
              </w:rPr>
            </w:pPr>
            <w:r w:rsidRPr="008132D7">
              <w:rPr>
                <w:rFonts w:cs="Arial"/>
              </w:rPr>
              <w:t>Acer Group</w:t>
            </w:r>
          </w:p>
        </w:tc>
        <w:tc>
          <w:tcPr>
            <w:tcW w:w="1440" w:type="dxa"/>
            <w:vAlign w:val="bottom"/>
          </w:tcPr>
          <w:p w:rsidR="00953A37" w:rsidRPr="008132D7" w:rsidRDefault="00953A37" w:rsidP="002A7EC6">
            <w:pPr>
              <w:jc w:val="right"/>
              <w:rPr>
                <w:rFonts w:cs="Arial"/>
              </w:rPr>
            </w:pPr>
            <w:r w:rsidRPr="008132D7">
              <w:rPr>
                <w:rFonts w:cs="Arial"/>
              </w:rPr>
              <w:t>2,763,858</w:t>
            </w:r>
          </w:p>
        </w:tc>
        <w:tc>
          <w:tcPr>
            <w:tcW w:w="1512" w:type="dxa"/>
            <w:vAlign w:val="bottom"/>
          </w:tcPr>
          <w:p w:rsidR="00953A37" w:rsidRPr="008132D7" w:rsidRDefault="00953A37" w:rsidP="002A7EC6">
            <w:pPr>
              <w:jc w:val="right"/>
              <w:rPr>
                <w:rFonts w:cs="Arial"/>
              </w:rPr>
            </w:pPr>
            <w:r w:rsidRPr="008132D7">
              <w:rPr>
                <w:rFonts w:cs="Arial"/>
              </w:rPr>
              <w:t>10.7</w:t>
            </w:r>
          </w:p>
        </w:tc>
        <w:tc>
          <w:tcPr>
            <w:tcW w:w="1368" w:type="dxa"/>
            <w:vAlign w:val="bottom"/>
          </w:tcPr>
          <w:p w:rsidR="00953A37" w:rsidRPr="008132D7" w:rsidRDefault="00953A37" w:rsidP="002A7EC6">
            <w:pPr>
              <w:jc w:val="right"/>
              <w:rPr>
                <w:rFonts w:cs="Arial"/>
              </w:rPr>
            </w:pPr>
            <w:r w:rsidRPr="008132D7">
              <w:rPr>
                <w:rFonts w:cs="Arial"/>
              </w:rPr>
              <w:t>3,002,467</w:t>
            </w:r>
          </w:p>
        </w:tc>
        <w:tc>
          <w:tcPr>
            <w:tcW w:w="1512" w:type="dxa"/>
            <w:vAlign w:val="bottom"/>
          </w:tcPr>
          <w:p w:rsidR="00953A37" w:rsidRPr="008132D7" w:rsidRDefault="00953A37" w:rsidP="002A7EC6">
            <w:pPr>
              <w:jc w:val="right"/>
              <w:rPr>
                <w:rFonts w:cs="Arial"/>
              </w:rPr>
            </w:pPr>
            <w:r w:rsidRPr="008132D7">
              <w:rPr>
                <w:rFonts w:cs="Arial"/>
              </w:rPr>
              <w:t>10.8</w:t>
            </w:r>
          </w:p>
        </w:tc>
        <w:tc>
          <w:tcPr>
            <w:tcW w:w="1368" w:type="dxa"/>
            <w:vAlign w:val="bottom"/>
          </w:tcPr>
          <w:p w:rsidR="00953A37" w:rsidRPr="008132D7" w:rsidRDefault="00953A37" w:rsidP="002A7EC6">
            <w:pPr>
              <w:jc w:val="right"/>
              <w:rPr>
                <w:rFonts w:cs="Arial"/>
              </w:rPr>
            </w:pPr>
            <w:r w:rsidRPr="008132D7">
              <w:rPr>
                <w:rFonts w:cs="Arial"/>
              </w:rPr>
              <w:t>-7.9</w:t>
            </w:r>
          </w:p>
        </w:tc>
      </w:tr>
      <w:tr w:rsidR="00953A37" w:rsidRPr="00710ACB" w:rsidTr="002A7EC6">
        <w:tc>
          <w:tcPr>
            <w:tcW w:w="3168" w:type="dxa"/>
            <w:vAlign w:val="bottom"/>
          </w:tcPr>
          <w:p w:rsidR="00953A37" w:rsidRDefault="00953A37" w:rsidP="002A7EC6">
            <w:pPr>
              <w:rPr>
                <w:rFonts w:cs="Arial"/>
              </w:rPr>
            </w:pPr>
            <w:r w:rsidRPr="008132D7">
              <w:rPr>
                <w:rFonts w:cs="Arial"/>
              </w:rPr>
              <w:t>A</w:t>
            </w:r>
            <w:r>
              <w:rPr>
                <w:rFonts w:cs="Arial"/>
              </w:rPr>
              <w:t>sus</w:t>
            </w:r>
          </w:p>
        </w:tc>
        <w:tc>
          <w:tcPr>
            <w:tcW w:w="1440" w:type="dxa"/>
            <w:vAlign w:val="bottom"/>
          </w:tcPr>
          <w:p w:rsidR="00953A37" w:rsidRPr="008132D7" w:rsidRDefault="00953A37" w:rsidP="002A7EC6">
            <w:pPr>
              <w:jc w:val="right"/>
              <w:rPr>
                <w:rFonts w:cs="Arial"/>
              </w:rPr>
            </w:pPr>
            <w:r w:rsidRPr="008132D7">
              <w:rPr>
                <w:rFonts w:cs="Arial"/>
              </w:rPr>
              <w:t>2,400,000</w:t>
            </w:r>
          </w:p>
        </w:tc>
        <w:tc>
          <w:tcPr>
            <w:tcW w:w="1512" w:type="dxa"/>
            <w:vAlign w:val="bottom"/>
          </w:tcPr>
          <w:p w:rsidR="00953A37" w:rsidRPr="008132D7" w:rsidRDefault="00953A37" w:rsidP="002A7EC6">
            <w:pPr>
              <w:jc w:val="right"/>
              <w:rPr>
                <w:rFonts w:cs="Arial"/>
              </w:rPr>
            </w:pPr>
            <w:r w:rsidRPr="008132D7">
              <w:rPr>
                <w:rFonts w:cs="Arial"/>
              </w:rPr>
              <w:t>9.3</w:t>
            </w:r>
          </w:p>
        </w:tc>
        <w:tc>
          <w:tcPr>
            <w:tcW w:w="1368" w:type="dxa"/>
            <w:vAlign w:val="bottom"/>
          </w:tcPr>
          <w:p w:rsidR="00953A37" w:rsidRPr="008132D7" w:rsidRDefault="00953A37" w:rsidP="002A7EC6">
            <w:pPr>
              <w:jc w:val="right"/>
              <w:rPr>
                <w:rFonts w:cs="Arial"/>
              </w:rPr>
            </w:pPr>
            <w:r w:rsidRPr="008132D7">
              <w:rPr>
                <w:rFonts w:cs="Arial"/>
              </w:rPr>
              <w:t>2,794,279</w:t>
            </w:r>
          </w:p>
        </w:tc>
        <w:tc>
          <w:tcPr>
            <w:tcW w:w="1512" w:type="dxa"/>
            <w:vAlign w:val="bottom"/>
          </w:tcPr>
          <w:p w:rsidR="00953A37" w:rsidRPr="008132D7" w:rsidRDefault="00953A37" w:rsidP="002A7EC6">
            <w:pPr>
              <w:jc w:val="right"/>
              <w:rPr>
                <w:rFonts w:cs="Arial"/>
              </w:rPr>
            </w:pPr>
            <w:r w:rsidRPr="008132D7">
              <w:rPr>
                <w:rFonts w:cs="Arial"/>
              </w:rPr>
              <w:t>10.1</w:t>
            </w:r>
          </w:p>
        </w:tc>
        <w:tc>
          <w:tcPr>
            <w:tcW w:w="1368" w:type="dxa"/>
            <w:vAlign w:val="bottom"/>
          </w:tcPr>
          <w:p w:rsidR="00953A37" w:rsidRPr="008132D7" w:rsidRDefault="00953A37" w:rsidP="002A7EC6">
            <w:pPr>
              <w:jc w:val="right"/>
              <w:rPr>
                <w:rFonts w:cs="Arial"/>
              </w:rPr>
            </w:pPr>
            <w:r w:rsidRPr="008132D7">
              <w:rPr>
                <w:rFonts w:cs="Arial"/>
              </w:rPr>
              <w:t>-14.1</w:t>
            </w:r>
          </w:p>
        </w:tc>
      </w:tr>
      <w:tr w:rsidR="00953A37" w:rsidRPr="00710ACB" w:rsidTr="002A7EC6">
        <w:tc>
          <w:tcPr>
            <w:tcW w:w="3168" w:type="dxa"/>
            <w:vAlign w:val="bottom"/>
          </w:tcPr>
          <w:p w:rsidR="00953A37" w:rsidRPr="008132D7" w:rsidRDefault="00953A37" w:rsidP="002A7EC6">
            <w:pPr>
              <w:rPr>
                <w:rFonts w:cs="Arial"/>
              </w:rPr>
            </w:pPr>
            <w:r w:rsidRPr="008132D7">
              <w:rPr>
                <w:rFonts w:cs="Arial"/>
              </w:rPr>
              <w:t>Dell</w:t>
            </w:r>
          </w:p>
        </w:tc>
        <w:tc>
          <w:tcPr>
            <w:tcW w:w="1440" w:type="dxa"/>
            <w:vAlign w:val="bottom"/>
          </w:tcPr>
          <w:p w:rsidR="00953A37" w:rsidRPr="008132D7" w:rsidRDefault="00953A37" w:rsidP="002A7EC6">
            <w:pPr>
              <w:jc w:val="right"/>
              <w:rPr>
                <w:rFonts w:cs="Arial"/>
              </w:rPr>
            </w:pPr>
            <w:r w:rsidRPr="008132D7">
              <w:rPr>
                <w:rFonts w:cs="Arial"/>
              </w:rPr>
              <w:t>2,354,254</w:t>
            </w:r>
          </w:p>
        </w:tc>
        <w:tc>
          <w:tcPr>
            <w:tcW w:w="1512" w:type="dxa"/>
            <w:vAlign w:val="bottom"/>
          </w:tcPr>
          <w:p w:rsidR="00953A37" w:rsidRPr="008132D7" w:rsidRDefault="00953A37" w:rsidP="002A7EC6">
            <w:pPr>
              <w:jc w:val="right"/>
              <w:rPr>
                <w:rFonts w:cs="Arial"/>
              </w:rPr>
            </w:pPr>
            <w:r w:rsidRPr="008132D7">
              <w:rPr>
                <w:rFonts w:cs="Arial"/>
              </w:rPr>
              <w:t>9.1</w:t>
            </w:r>
          </w:p>
        </w:tc>
        <w:tc>
          <w:tcPr>
            <w:tcW w:w="1368" w:type="dxa"/>
            <w:vAlign w:val="bottom"/>
          </w:tcPr>
          <w:p w:rsidR="00953A37" w:rsidRPr="008132D7" w:rsidRDefault="00953A37" w:rsidP="002A7EC6">
            <w:pPr>
              <w:jc w:val="right"/>
              <w:rPr>
                <w:rFonts w:cs="Arial"/>
              </w:rPr>
            </w:pPr>
            <w:r w:rsidRPr="008132D7">
              <w:rPr>
                <w:rFonts w:cs="Arial"/>
              </w:rPr>
              <w:t>2,351,993</w:t>
            </w:r>
          </w:p>
        </w:tc>
        <w:tc>
          <w:tcPr>
            <w:tcW w:w="1512" w:type="dxa"/>
            <w:vAlign w:val="bottom"/>
          </w:tcPr>
          <w:p w:rsidR="00953A37" w:rsidRPr="008132D7" w:rsidRDefault="00953A37" w:rsidP="002A7EC6">
            <w:pPr>
              <w:jc w:val="right"/>
              <w:rPr>
                <w:rFonts w:cs="Arial"/>
              </w:rPr>
            </w:pPr>
            <w:r w:rsidRPr="008132D7">
              <w:rPr>
                <w:rFonts w:cs="Arial"/>
              </w:rPr>
              <w:t>8.5</w:t>
            </w:r>
          </w:p>
        </w:tc>
        <w:tc>
          <w:tcPr>
            <w:tcW w:w="1368" w:type="dxa"/>
            <w:vAlign w:val="bottom"/>
          </w:tcPr>
          <w:p w:rsidR="00953A37" w:rsidRPr="008132D7" w:rsidRDefault="00953A37" w:rsidP="002A7EC6">
            <w:pPr>
              <w:jc w:val="right"/>
              <w:rPr>
                <w:rFonts w:cs="Arial"/>
              </w:rPr>
            </w:pPr>
            <w:r w:rsidRPr="008132D7">
              <w:rPr>
                <w:rFonts w:cs="Arial"/>
              </w:rPr>
              <w:t>0.1</w:t>
            </w:r>
          </w:p>
        </w:tc>
      </w:tr>
      <w:tr w:rsidR="00953A37" w:rsidRPr="00710ACB" w:rsidTr="002A7EC6">
        <w:trPr>
          <w:trHeight w:val="141"/>
        </w:trPr>
        <w:tc>
          <w:tcPr>
            <w:tcW w:w="3168" w:type="dxa"/>
          </w:tcPr>
          <w:p w:rsidR="00953A37" w:rsidRPr="008132D7" w:rsidRDefault="00953A37" w:rsidP="002A7EC6">
            <w:pPr>
              <w:pStyle w:val="CellBodyL"/>
              <w:rPr>
                <w:rFonts w:cs="Arial"/>
                <w:sz w:val="20"/>
              </w:rPr>
            </w:pPr>
            <w:r w:rsidRPr="008132D7">
              <w:rPr>
                <w:rFonts w:cs="Arial"/>
                <w:sz w:val="20"/>
              </w:rPr>
              <w:t>Others</w:t>
            </w:r>
          </w:p>
        </w:tc>
        <w:tc>
          <w:tcPr>
            <w:tcW w:w="1440" w:type="dxa"/>
            <w:vAlign w:val="bottom"/>
          </w:tcPr>
          <w:p w:rsidR="00953A37" w:rsidRPr="008132D7" w:rsidRDefault="00953A37" w:rsidP="002A7EC6">
            <w:pPr>
              <w:jc w:val="right"/>
              <w:rPr>
                <w:rFonts w:cs="Arial"/>
              </w:rPr>
            </w:pPr>
            <w:r w:rsidRPr="008132D7">
              <w:rPr>
                <w:rFonts w:cs="Arial"/>
              </w:rPr>
              <w:t>9,429,544</w:t>
            </w:r>
          </w:p>
        </w:tc>
        <w:tc>
          <w:tcPr>
            <w:tcW w:w="1512" w:type="dxa"/>
            <w:vAlign w:val="bottom"/>
          </w:tcPr>
          <w:p w:rsidR="00953A37" w:rsidRPr="008132D7" w:rsidRDefault="00953A37" w:rsidP="002A7EC6">
            <w:pPr>
              <w:jc w:val="right"/>
              <w:rPr>
                <w:rFonts w:cs="Arial"/>
              </w:rPr>
            </w:pPr>
            <w:r w:rsidRPr="008132D7">
              <w:rPr>
                <w:rFonts w:cs="Arial"/>
              </w:rPr>
              <w:t>36.5</w:t>
            </w:r>
          </w:p>
        </w:tc>
        <w:tc>
          <w:tcPr>
            <w:tcW w:w="1368" w:type="dxa"/>
            <w:vAlign w:val="bottom"/>
          </w:tcPr>
          <w:p w:rsidR="00953A37" w:rsidRPr="008132D7" w:rsidRDefault="00953A37" w:rsidP="002A7EC6">
            <w:pPr>
              <w:jc w:val="right"/>
              <w:rPr>
                <w:rFonts w:cs="Arial"/>
              </w:rPr>
            </w:pPr>
            <w:r w:rsidRPr="008132D7">
              <w:rPr>
                <w:rFonts w:cs="Arial"/>
              </w:rPr>
              <w:t>11,129,981</w:t>
            </w:r>
          </w:p>
        </w:tc>
        <w:tc>
          <w:tcPr>
            <w:tcW w:w="1512" w:type="dxa"/>
            <w:vAlign w:val="bottom"/>
          </w:tcPr>
          <w:p w:rsidR="00953A37" w:rsidRPr="008132D7" w:rsidRDefault="00953A37" w:rsidP="002A7EC6">
            <w:pPr>
              <w:jc w:val="right"/>
              <w:rPr>
                <w:rFonts w:cs="Arial"/>
              </w:rPr>
            </w:pPr>
            <w:r w:rsidRPr="008132D7">
              <w:rPr>
                <w:rFonts w:cs="Arial"/>
              </w:rPr>
              <w:t>40.2</w:t>
            </w:r>
          </w:p>
        </w:tc>
        <w:tc>
          <w:tcPr>
            <w:tcW w:w="1368" w:type="dxa"/>
            <w:vAlign w:val="bottom"/>
          </w:tcPr>
          <w:p w:rsidR="00953A37" w:rsidRPr="008132D7" w:rsidRDefault="00953A37" w:rsidP="002A7EC6">
            <w:pPr>
              <w:jc w:val="right"/>
              <w:rPr>
                <w:rFonts w:cs="Arial"/>
              </w:rPr>
            </w:pPr>
            <w:r w:rsidRPr="008132D7">
              <w:rPr>
                <w:rFonts w:cs="Arial"/>
              </w:rPr>
              <w:t>-15.3</w:t>
            </w:r>
          </w:p>
        </w:tc>
      </w:tr>
      <w:tr w:rsidR="00953A37" w:rsidRPr="00710ACB" w:rsidTr="002A7EC6">
        <w:tc>
          <w:tcPr>
            <w:tcW w:w="3168" w:type="dxa"/>
          </w:tcPr>
          <w:p w:rsidR="00953A37" w:rsidRPr="008132D7" w:rsidRDefault="00953A37" w:rsidP="002A7EC6">
            <w:pPr>
              <w:pStyle w:val="CellBodyL"/>
              <w:rPr>
                <w:rFonts w:cs="Arial"/>
                <w:b/>
                <w:sz w:val="20"/>
              </w:rPr>
            </w:pPr>
            <w:r w:rsidRPr="008132D7">
              <w:rPr>
                <w:rFonts w:cs="Arial"/>
                <w:b/>
                <w:sz w:val="20"/>
              </w:rPr>
              <w:t>Total</w:t>
            </w:r>
          </w:p>
        </w:tc>
        <w:tc>
          <w:tcPr>
            <w:tcW w:w="1440" w:type="dxa"/>
            <w:vAlign w:val="bottom"/>
          </w:tcPr>
          <w:p w:rsidR="00953A37" w:rsidRPr="008132D7" w:rsidRDefault="00953A37" w:rsidP="002A7EC6">
            <w:pPr>
              <w:jc w:val="right"/>
              <w:rPr>
                <w:rFonts w:cs="Arial"/>
                <w:b/>
                <w:bCs/>
              </w:rPr>
            </w:pPr>
            <w:r w:rsidRPr="008132D7">
              <w:rPr>
                <w:rFonts w:cs="Arial"/>
                <w:b/>
                <w:bCs/>
              </w:rPr>
              <w:t>25,864,030</w:t>
            </w:r>
          </w:p>
        </w:tc>
        <w:tc>
          <w:tcPr>
            <w:tcW w:w="1512" w:type="dxa"/>
            <w:vAlign w:val="bottom"/>
          </w:tcPr>
          <w:p w:rsidR="00953A37" w:rsidRPr="008132D7" w:rsidRDefault="00953A37" w:rsidP="002A7EC6">
            <w:pPr>
              <w:jc w:val="right"/>
              <w:rPr>
                <w:rFonts w:cs="Arial"/>
                <w:b/>
                <w:bCs/>
              </w:rPr>
            </w:pPr>
            <w:r w:rsidRPr="008132D7">
              <w:rPr>
                <w:rFonts w:cs="Arial"/>
                <w:b/>
                <w:bCs/>
              </w:rPr>
              <w:t>100.0</w:t>
            </w:r>
          </w:p>
        </w:tc>
        <w:tc>
          <w:tcPr>
            <w:tcW w:w="1368" w:type="dxa"/>
            <w:vAlign w:val="bottom"/>
          </w:tcPr>
          <w:p w:rsidR="00953A37" w:rsidRPr="008132D7" w:rsidRDefault="00953A37" w:rsidP="002A7EC6">
            <w:pPr>
              <w:jc w:val="right"/>
              <w:rPr>
                <w:rFonts w:cs="Arial"/>
                <w:b/>
                <w:bCs/>
              </w:rPr>
            </w:pPr>
            <w:r w:rsidRPr="008132D7">
              <w:rPr>
                <w:rFonts w:cs="Arial"/>
                <w:b/>
                <w:bCs/>
              </w:rPr>
              <w:t>27,714,484</w:t>
            </w:r>
          </w:p>
        </w:tc>
        <w:tc>
          <w:tcPr>
            <w:tcW w:w="1512" w:type="dxa"/>
            <w:vAlign w:val="bottom"/>
          </w:tcPr>
          <w:p w:rsidR="00953A37" w:rsidRPr="008132D7" w:rsidRDefault="00953A37" w:rsidP="002A7EC6">
            <w:pPr>
              <w:jc w:val="right"/>
              <w:rPr>
                <w:rFonts w:cs="Arial"/>
                <w:b/>
                <w:bCs/>
              </w:rPr>
            </w:pPr>
            <w:r w:rsidRPr="008132D7">
              <w:rPr>
                <w:rFonts w:cs="Arial"/>
                <w:b/>
                <w:bCs/>
              </w:rPr>
              <w:t>100.0</w:t>
            </w:r>
          </w:p>
        </w:tc>
        <w:tc>
          <w:tcPr>
            <w:tcW w:w="1368" w:type="dxa"/>
            <w:vAlign w:val="bottom"/>
          </w:tcPr>
          <w:p w:rsidR="00953A37" w:rsidRPr="008132D7" w:rsidRDefault="00953A37" w:rsidP="002A7EC6">
            <w:pPr>
              <w:jc w:val="right"/>
              <w:rPr>
                <w:rFonts w:cs="Arial"/>
                <w:b/>
                <w:bCs/>
              </w:rPr>
            </w:pPr>
            <w:r w:rsidRPr="008132D7">
              <w:rPr>
                <w:rFonts w:cs="Arial"/>
                <w:b/>
                <w:bCs/>
              </w:rPr>
              <w:t>-6.7</w:t>
            </w:r>
          </w:p>
        </w:tc>
      </w:tr>
    </w:tbl>
    <w:p w:rsidR="00953A37" w:rsidRPr="00710ACB" w:rsidRDefault="00953A37" w:rsidP="00953A37">
      <w:pPr>
        <w:jc w:val="left"/>
        <w:rPr>
          <w:sz w:val="16"/>
          <w:szCs w:val="16"/>
        </w:rPr>
      </w:pPr>
      <w:r w:rsidRPr="00710ACB">
        <w:rPr>
          <w:sz w:val="16"/>
          <w:szCs w:val="16"/>
        </w:rPr>
        <w:t xml:space="preserve">Note: </w:t>
      </w:r>
      <w:r w:rsidRPr="00F16E52">
        <w:rPr>
          <w:sz w:val="16"/>
          <w:szCs w:val="16"/>
        </w:rPr>
        <w:t xml:space="preserve">Data includes desk-based PCs and mobile PCs, including x86 tablets equipped with Windows 8, but excludes </w:t>
      </w:r>
      <w:proofErr w:type="spellStart"/>
      <w:r w:rsidRPr="00F16E52">
        <w:rPr>
          <w:sz w:val="16"/>
          <w:szCs w:val="16"/>
        </w:rPr>
        <w:t>Chromebooks</w:t>
      </w:r>
      <w:proofErr w:type="spellEnd"/>
      <w:r w:rsidRPr="00F16E52">
        <w:rPr>
          <w:sz w:val="16"/>
          <w:szCs w:val="16"/>
        </w:rPr>
        <w:t xml:space="preserve"> and other tablets. All data is estimated based on a preliminary study. The statistics are based on the shipments selling into channels.</w:t>
      </w:r>
    </w:p>
    <w:p w:rsidR="00953A37" w:rsidRPr="00710ACB" w:rsidRDefault="00953A37" w:rsidP="00953A37">
      <w:pPr>
        <w:jc w:val="left"/>
        <w:rPr>
          <w:sz w:val="16"/>
        </w:rPr>
      </w:pPr>
      <w:r w:rsidRPr="00710ACB">
        <w:rPr>
          <w:sz w:val="16"/>
        </w:rPr>
        <w:t>Source: Gartner (</w:t>
      </w:r>
      <w:r>
        <w:rPr>
          <w:sz w:val="16"/>
        </w:rPr>
        <w:t xml:space="preserve">January </w:t>
      </w:r>
      <w:r w:rsidRPr="00710ACB">
        <w:rPr>
          <w:sz w:val="16"/>
        </w:rPr>
        <w:t>201</w:t>
      </w:r>
      <w:r>
        <w:rPr>
          <w:sz w:val="16"/>
        </w:rPr>
        <w:t>4</w:t>
      </w:r>
      <w:r w:rsidRPr="00710ACB">
        <w:rPr>
          <w:sz w:val="16"/>
        </w:rPr>
        <w:t>)</w:t>
      </w:r>
    </w:p>
    <w:p w:rsidR="00953A37" w:rsidRPr="00710ACB" w:rsidRDefault="00953A37" w:rsidP="00953A37">
      <w:pPr>
        <w:pStyle w:val="contact"/>
        <w:tabs>
          <w:tab w:val="clear" w:pos="9180"/>
        </w:tabs>
        <w:rPr>
          <w:rFonts w:ascii="Arial" w:hAnsi="Arial"/>
          <w:szCs w:val="22"/>
        </w:rPr>
      </w:pPr>
    </w:p>
    <w:p w:rsidR="00953A37" w:rsidRPr="00953A37" w:rsidRDefault="00953A37" w:rsidP="00171731">
      <w:pPr>
        <w:pStyle w:val="contact"/>
        <w:tabs>
          <w:tab w:val="clear" w:pos="9180"/>
        </w:tabs>
        <w:rPr>
          <w:rFonts w:ascii="Arial" w:hAnsi="Arial" w:cs="Arial"/>
        </w:rPr>
      </w:pPr>
    </w:p>
    <w:p w:rsidR="00945A22" w:rsidRPr="00953A37" w:rsidRDefault="00171731" w:rsidP="00171731">
      <w:pPr>
        <w:jc w:val="left"/>
        <w:rPr>
          <w:sz w:val="22"/>
        </w:rPr>
      </w:pPr>
      <w:r w:rsidRPr="00953A37">
        <w:rPr>
          <w:sz w:val="22"/>
        </w:rPr>
        <w:t xml:space="preserve">These results are preliminary. Final statistics will be available soon to clients of Gartner's PC Quarterly Statistics Worldwide by Region program. This program offers a comprehensive and timely picture of the worldwide PC </w:t>
      </w:r>
      <w:smartTag w:uri="urn:schemas-microsoft-com:office:smarttags" w:element="PersonName">
        <w:r w:rsidRPr="00953A37">
          <w:rPr>
            <w:sz w:val="22"/>
          </w:rPr>
          <w:t>mark</w:t>
        </w:r>
      </w:smartTag>
      <w:r w:rsidRPr="00953A37">
        <w:rPr>
          <w:sz w:val="22"/>
        </w:rPr>
        <w:t xml:space="preserve">et, allowing product planning, distribution, </w:t>
      </w:r>
      <w:smartTag w:uri="urn:schemas-microsoft-com:office:smarttags" w:element="PersonName">
        <w:r w:rsidRPr="00953A37">
          <w:rPr>
            <w:sz w:val="22"/>
          </w:rPr>
          <w:t>mark</w:t>
        </w:r>
      </w:smartTag>
      <w:r w:rsidRPr="00953A37">
        <w:rPr>
          <w:sz w:val="22"/>
        </w:rPr>
        <w:t>eting and sales organi</w:t>
      </w:r>
      <w:r w:rsidR="00520C36">
        <w:rPr>
          <w:sz w:val="22"/>
        </w:rPr>
        <w:t>s</w:t>
      </w:r>
      <w:r w:rsidRPr="00953A37">
        <w:rPr>
          <w:sz w:val="22"/>
        </w:rPr>
        <w:t xml:space="preserve">ations to keep abreast of key issues and their future implications around the globe. Additional research can be found on Gartner's Computing Hardware section on Gartner's website at </w:t>
      </w:r>
      <w:hyperlink r:id="rId10" w:history="1">
        <w:r w:rsidRPr="00953A37">
          <w:rPr>
            <w:rStyle w:val="Hyperlink"/>
            <w:sz w:val="22"/>
          </w:rPr>
          <w:t>http://www.gartner.com/i</w:t>
        </w:r>
        <w:r w:rsidRPr="00953A37">
          <w:rPr>
            <w:rStyle w:val="Hyperlink"/>
            <w:sz w:val="22"/>
          </w:rPr>
          <w:t>t</w:t>
        </w:r>
        <w:r w:rsidRPr="00953A37">
          <w:rPr>
            <w:rStyle w:val="Hyperlink"/>
            <w:sz w:val="22"/>
          </w:rPr>
          <w:t>/products/resear</w:t>
        </w:r>
        <w:r w:rsidRPr="00953A37">
          <w:rPr>
            <w:rStyle w:val="Hyperlink"/>
            <w:sz w:val="22"/>
          </w:rPr>
          <w:t>c</w:t>
        </w:r>
        <w:r w:rsidRPr="00953A37">
          <w:rPr>
            <w:rStyle w:val="Hyperlink"/>
            <w:sz w:val="22"/>
          </w:rPr>
          <w:t>h/asset_129157_2395.jsp</w:t>
        </w:r>
      </w:hyperlink>
    </w:p>
    <w:p w:rsidR="00945A22" w:rsidRPr="00953A37" w:rsidRDefault="00945A22" w:rsidP="00945A22">
      <w:pPr>
        <w:pStyle w:val="BodyText"/>
        <w:widowControl/>
        <w:spacing w:after="0" w:line="240" w:lineRule="auto"/>
        <w:rPr>
          <w:snapToGrid/>
        </w:rPr>
      </w:pPr>
    </w:p>
    <w:p w:rsidR="00945A22" w:rsidRPr="00953A37" w:rsidRDefault="00945A22" w:rsidP="00945A22">
      <w:pPr>
        <w:pStyle w:val="BodyText"/>
        <w:widowControl/>
        <w:spacing w:after="0" w:line="240" w:lineRule="auto"/>
        <w:rPr>
          <w:b/>
          <w:snapToGrid/>
        </w:rPr>
      </w:pPr>
      <w:r w:rsidRPr="00953A37">
        <w:rPr>
          <w:b/>
          <w:snapToGrid/>
        </w:rPr>
        <w:t>About Gartner</w:t>
      </w:r>
    </w:p>
    <w:p w:rsidR="00945A22" w:rsidRPr="00953A37" w:rsidRDefault="00945A22" w:rsidP="00945A22">
      <w:pPr>
        <w:jc w:val="left"/>
        <w:rPr>
          <w:rFonts w:cs="Arial"/>
          <w:sz w:val="22"/>
          <w:szCs w:val="22"/>
        </w:rPr>
      </w:pPr>
      <w:r w:rsidRPr="00953A37">
        <w:rPr>
          <w:rFonts w:cs="Arial"/>
          <w:sz w:val="22"/>
          <w:szCs w:val="22"/>
        </w:rPr>
        <w:t xml:space="preserve">Gartner, Inc. (NYSE: IT) is the world's leading information technology research and advisory company. Gartner delivers the technology-related insight necessary for its clients to make the right decisions, every day. From CIOs and senior IT leaders in corporations and government agencies, to business leaders in high-tech and telecom enterprises and professional services firms, to technology investors, Gartner is a valuable partner in more than 13,000 distinct organizations. Through the resources of Gartner Research, Gartner Executive Programs, Gartner Consulting and Gartner Events, Gartner works with every client to research, analyze and interpret the business of IT within the context of their individual role. Founded in 1979, Gartner is headquartered in Stamford, Connecticut, USA, and has 5,800 associates, including more than 1,450 research analysts and consultants, and clients in 85 countries. For more information, visit </w:t>
      </w:r>
      <w:hyperlink r:id="rId11" w:history="1">
        <w:r w:rsidRPr="00953A37">
          <w:rPr>
            <w:rStyle w:val="Hyperlink"/>
            <w:rFonts w:cs="Arial"/>
            <w:sz w:val="22"/>
            <w:szCs w:val="22"/>
          </w:rPr>
          <w:t>www.gartner.com</w:t>
        </w:r>
      </w:hyperlink>
      <w:r w:rsidRPr="00953A37">
        <w:rPr>
          <w:sz w:val="22"/>
          <w:szCs w:val="22"/>
        </w:rPr>
        <w:t>.</w:t>
      </w:r>
    </w:p>
    <w:p w:rsidR="00945A22" w:rsidRPr="00953A37" w:rsidRDefault="00945A22" w:rsidP="00945A22">
      <w:pPr>
        <w:jc w:val="left"/>
        <w:rPr>
          <w:rFonts w:cs="Arial"/>
          <w:sz w:val="22"/>
          <w:szCs w:val="22"/>
        </w:rPr>
      </w:pPr>
    </w:p>
    <w:p w:rsidR="00945A22" w:rsidRPr="00953A37" w:rsidRDefault="00945A22" w:rsidP="00945A22">
      <w:pPr>
        <w:jc w:val="center"/>
      </w:pPr>
      <w:r w:rsidRPr="00953A37">
        <w:rPr>
          <w:snapToGrid w:val="0"/>
          <w:sz w:val="22"/>
        </w:rPr>
        <w:t># # #</w:t>
      </w:r>
    </w:p>
    <w:p w:rsidR="00ED78ED" w:rsidRPr="00953A37" w:rsidRDefault="00ED78ED">
      <w:pPr>
        <w:jc w:val="center"/>
      </w:pPr>
    </w:p>
    <w:sectPr w:rsidR="00ED78ED" w:rsidRPr="00953A37">
      <w:headerReference w:type="default" r:id="rId12"/>
      <w:footerReference w:type="default" r:id="rId13"/>
      <w:headerReference w:type="first" r:id="rId14"/>
      <w:footerReference w:type="first" r:id="rId15"/>
      <w:pgSz w:w="12240" w:h="15840" w:code="1"/>
      <w:pgMar w:top="562" w:right="850" w:bottom="850" w:left="1008" w:header="850" w:footer="56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3ED" w:rsidRDefault="005E73ED">
      <w:r>
        <w:separator/>
      </w:r>
    </w:p>
  </w:endnote>
  <w:endnote w:type="continuationSeparator" w:id="0">
    <w:p w:rsidR="005E73ED" w:rsidRDefault="005E73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FE0" w:rsidRDefault="00727FE0">
    <w:pPr>
      <w:jc w:val="center"/>
    </w:pPr>
  </w:p>
  <w:tbl>
    <w:tblPr>
      <w:tblW w:w="0" w:type="auto"/>
      <w:tblInd w:w="108" w:type="dxa"/>
      <w:tblBorders>
        <w:top w:val="single" w:sz="6" w:space="0" w:color="auto"/>
        <w:right w:val="single" w:sz="6" w:space="0" w:color="auto"/>
        <w:insideV w:val="single" w:sz="6" w:space="0" w:color="auto"/>
      </w:tblBorders>
      <w:tblLayout w:type="fixed"/>
      <w:tblLook w:val="0000"/>
    </w:tblPr>
    <w:tblGrid>
      <w:gridCol w:w="6991"/>
      <w:gridCol w:w="3449"/>
    </w:tblGrid>
    <w:tr w:rsidR="00727FE0">
      <w:tblPrEx>
        <w:tblCellMar>
          <w:top w:w="0" w:type="dxa"/>
          <w:bottom w:w="0" w:type="dxa"/>
        </w:tblCellMar>
      </w:tblPrEx>
      <w:tc>
        <w:tcPr>
          <w:tcW w:w="6991" w:type="dxa"/>
        </w:tcPr>
        <w:p w:rsidR="00727FE0" w:rsidRDefault="00727FE0">
          <w:pPr>
            <w:pStyle w:val="xFtrLogo"/>
            <w:rPr>
              <w:b/>
            </w:rPr>
          </w:pPr>
          <w:r>
            <w:rPr>
              <w:b/>
            </w:rPr>
            <w:t xml:space="preserve">Gartner, Inc. </w:t>
          </w:r>
        </w:p>
      </w:tc>
      <w:tc>
        <w:tcPr>
          <w:tcW w:w="3449" w:type="dxa"/>
        </w:tcPr>
        <w:p w:rsidR="00727FE0" w:rsidRDefault="00727FE0">
          <w:pPr>
            <w:pStyle w:val="Footer"/>
            <w:spacing w:before="60"/>
            <w:ind w:left="144"/>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20C36">
            <w:rPr>
              <w:rStyle w:val="PageNumber"/>
              <w:noProof/>
            </w:rPr>
            <w:t>3</w:t>
          </w:r>
          <w:r>
            <w:rPr>
              <w:rStyle w:val="PageNumber"/>
            </w:rPr>
            <w:fldChar w:fldCharType="end"/>
          </w:r>
        </w:p>
      </w:tc>
    </w:tr>
  </w:tbl>
  <w:p w:rsidR="00727FE0" w:rsidRDefault="00727FE0">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FE0" w:rsidRDefault="00727FE0">
    <w:pPr>
      <w:jc w:val="center"/>
    </w:pPr>
    <w:r>
      <w:fldChar w:fldCharType="begin"/>
    </w:r>
    <w:r>
      <w:instrText xml:space="preserve"> if </w:instrText>
    </w:r>
    <w:fldSimple w:instr=" page ">
      <w:r w:rsidR="00520C36">
        <w:rPr>
          <w:noProof/>
        </w:rPr>
        <w:instrText>1</w:instrText>
      </w:r>
    </w:fldSimple>
    <w:r>
      <w:instrText xml:space="preserve"> = </w:instrText>
    </w:r>
    <w:fldSimple w:instr=" numpages ">
      <w:r w:rsidR="00520C36">
        <w:rPr>
          <w:noProof/>
        </w:rPr>
        <w:instrText>4</w:instrText>
      </w:r>
    </w:fldSimple>
    <w:r>
      <w:instrText xml:space="preserve"> "" "-more-" </w:instrText>
    </w:r>
    <w:r w:rsidR="00953A37">
      <w:fldChar w:fldCharType="separate"/>
    </w:r>
    <w:r w:rsidR="00520C36">
      <w:rPr>
        <w:noProof/>
      </w:rPr>
      <w:t>-more-</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3ED" w:rsidRDefault="005E73ED">
      <w:r>
        <w:separator/>
      </w:r>
    </w:p>
  </w:footnote>
  <w:footnote w:type="continuationSeparator" w:id="0">
    <w:p w:rsidR="005E73ED" w:rsidRDefault="005E73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FE0" w:rsidRDefault="00727FE0">
    <w:pPr>
      <w:pStyle w:val="Header"/>
    </w:pPr>
  </w:p>
  <w:p w:rsidR="00727FE0" w:rsidRDefault="00727F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2610"/>
      <w:gridCol w:w="900"/>
      <w:gridCol w:w="165"/>
      <w:gridCol w:w="6675"/>
      <w:gridCol w:w="27"/>
    </w:tblGrid>
    <w:tr w:rsidR="00727FE0">
      <w:tblPrEx>
        <w:tblCellMar>
          <w:top w:w="0" w:type="dxa"/>
          <w:left w:w="0" w:type="dxa"/>
          <w:bottom w:w="0" w:type="dxa"/>
          <w:right w:w="0" w:type="dxa"/>
        </w:tblCellMar>
      </w:tblPrEx>
      <w:trPr>
        <w:gridAfter w:val="1"/>
        <w:wAfter w:w="27" w:type="dxa"/>
        <w:cantSplit/>
        <w:trHeight w:hRule="exact" w:val="900"/>
      </w:trPr>
      <w:tc>
        <w:tcPr>
          <w:tcW w:w="2610" w:type="dxa"/>
        </w:tcPr>
        <w:p w:rsidR="00727FE0" w:rsidRDefault="00953A37">
          <w:pPr>
            <w:pStyle w:val="xHdrLogo"/>
          </w:pPr>
          <w:r>
            <w:rPr>
              <w:noProof/>
              <w:lang w:eastAsia="en-GB"/>
            </w:rPr>
            <w:drawing>
              <wp:inline distT="0" distB="0" distL="0" distR="0">
                <wp:extent cx="1648460" cy="401955"/>
                <wp:effectExtent l="19050" t="0" r="8890" b="0"/>
                <wp:docPr id="1" name="Picture 1" descr="GGlogotagmark_10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logotagmark_100k"/>
                        <pic:cNvPicPr>
                          <a:picLocks noChangeAspect="1" noChangeArrowheads="1"/>
                        </pic:cNvPicPr>
                      </pic:nvPicPr>
                      <pic:blipFill>
                        <a:blip r:embed="rId1"/>
                        <a:srcRect/>
                        <a:stretch>
                          <a:fillRect/>
                        </a:stretch>
                      </pic:blipFill>
                      <pic:spPr bwMode="auto">
                        <a:xfrm>
                          <a:off x="0" y="0"/>
                          <a:ext cx="1648460" cy="401955"/>
                        </a:xfrm>
                        <a:prstGeom prst="rect">
                          <a:avLst/>
                        </a:prstGeom>
                        <a:noFill/>
                        <a:ln w="9525">
                          <a:noFill/>
                          <a:miter lim="800000"/>
                          <a:headEnd/>
                          <a:tailEnd/>
                        </a:ln>
                      </pic:spPr>
                    </pic:pic>
                  </a:graphicData>
                </a:graphic>
              </wp:inline>
            </w:drawing>
          </w:r>
        </w:p>
      </w:tc>
      <w:tc>
        <w:tcPr>
          <w:tcW w:w="900" w:type="dxa"/>
        </w:tcPr>
        <w:p w:rsidR="00727FE0" w:rsidRDefault="00727FE0"/>
      </w:tc>
      <w:tc>
        <w:tcPr>
          <w:tcW w:w="165" w:type="dxa"/>
          <w:tcBorders>
            <w:bottom w:val="single" w:sz="6" w:space="0" w:color="auto"/>
            <w:right w:val="single" w:sz="6" w:space="0" w:color="auto"/>
          </w:tcBorders>
        </w:tcPr>
        <w:p w:rsidR="00727FE0" w:rsidRDefault="00727FE0"/>
      </w:tc>
      <w:tc>
        <w:tcPr>
          <w:tcW w:w="6675" w:type="dxa"/>
          <w:tcBorders>
            <w:left w:val="single" w:sz="6" w:space="0" w:color="auto"/>
          </w:tcBorders>
        </w:tcPr>
        <w:p w:rsidR="00727FE0" w:rsidRDefault="00727FE0">
          <w:pPr>
            <w:pStyle w:val="xHdrServiceName"/>
          </w:pPr>
          <w:r>
            <w:rPr>
              <w:sz w:val="72"/>
            </w:rPr>
            <w:fldChar w:fldCharType="begin"/>
          </w:r>
          <w:r>
            <w:rPr>
              <w:sz w:val="72"/>
            </w:rPr>
            <w:instrText xml:space="preserve"> MACROBUTTON DocumentSetup </w:instrText>
          </w:r>
          <w:r>
            <w:rPr>
              <w:sz w:val="72"/>
            </w:rPr>
            <w:fldChar w:fldCharType="begin"/>
          </w:r>
          <w:r>
            <w:rPr>
              <w:sz w:val="72"/>
            </w:rPr>
            <w:instrText xml:space="preserve"> DOCPROPERTY SubTypeDesc </w:instrText>
          </w:r>
          <w:r>
            <w:rPr>
              <w:sz w:val="72"/>
            </w:rPr>
            <w:fldChar w:fldCharType="separate"/>
          </w:r>
          <w:r>
            <w:rPr>
              <w:sz w:val="72"/>
            </w:rPr>
            <w:instrText>Press Release</w:instrText>
          </w:r>
          <w:r>
            <w:rPr>
              <w:sz w:val="72"/>
            </w:rPr>
            <w:fldChar w:fldCharType="end"/>
          </w:r>
          <w:r>
            <w:rPr>
              <w:sz w:val="72"/>
            </w:rPr>
            <w:fldChar w:fldCharType="end"/>
          </w:r>
        </w:p>
      </w:tc>
    </w:tr>
    <w:tr w:rsidR="00727FE0">
      <w:tblPrEx>
        <w:tblCellMar>
          <w:top w:w="0" w:type="dxa"/>
          <w:left w:w="0" w:type="dxa"/>
          <w:bottom w:w="0" w:type="dxa"/>
          <w:right w:w="0" w:type="dxa"/>
        </w:tblCellMar>
      </w:tblPrEx>
      <w:trPr>
        <w:cantSplit/>
      </w:trPr>
      <w:tc>
        <w:tcPr>
          <w:tcW w:w="3510" w:type="dxa"/>
          <w:gridSpan w:val="2"/>
        </w:tcPr>
        <w:p w:rsidR="00727FE0" w:rsidRDefault="00727FE0">
          <w:pPr>
            <w:spacing w:before="60" w:after="60"/>
            <w:ind w:left="1080"/>
          </w:pPr>
        </w:p>
      </w:tc>
      <w:tc>
        <w:tcPr>
          <w:tcW w:w="165" w:type="dxa"/>
        </w:tcPr>
        <w:p w:rsidR="00727FE0" w:rsidRDefault="00727FE0">
          <w:pPr>
            <w:spacing w:before="60" w:after="60"/>
            <w:ind w:left="1080"/>
            <w:rPr>
              <w:b/>
            </w:rPr>
          </w:pPr>
        </w:p>
      </w:tc>
      <w:tc>
        <w:tcPr>
          <w:tcW w:w="6702" w:type="dxa"/>
          <w:gridSpan w:val="2"/>
        </w:tcPr>
        <w:p w:rsidR="00727FE0" w:rsidRDefault="00727FE0"/>
      </w:tc>
    </w:tr>
  </w:tbl>
  <w:p w:rsidR="00727FE0" w:rsidRDefault="00727F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E28033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76B5167"/>
    <w:multiLevelType w:val="singleLevel"/>
    <w:tmpl w:val="0DEEA448"/>
    <w:lvl w:ilvl="0">
      <w:start w:val="1"/>
      <w:numFmt w:val="bullet"/>
      <w:lvlText w:val=""/>
      <w:lvlJc w:val="left"/>
      <w:pPr>
        <w:tabs>
          <w:tab w:val="num" w:pos="360"/>
        </w:tabs>
        <w:ind w:left="227" w:hanging="227"/>
      </w:pPr>
      <w:rPr>
        <w:rFonts w:ascii="ZapfDingbats" w:hAnsi="ZapfDingbats" w:hint="default"/>
        <w:sz w:val="16"/>
      </w:rPr>
    </w:lvl>
  </w:abstractNum>
  <w:abstractNum w:abstractNumId="3">
    <w:nsid w:val="19411304"/>
    <w:multiLevelType w:val="multilevel"/>
    <w:tmpl w:val="CAAE1A4E"/>
    <w:name w:val="Bullets"/>
    <w:lvl w:ilvl="0">
      <w:start w:val="1"/>
      <w:numFmt w:val="bullet"/>
      <w:pStyle w:val="ListBullet"/>
      <w:lvlText w:val=""/>
      <w:lvlJc w:val="left"/>
      <w:pPr>
        <w:tabs>
          <w:tab w:val="num" w:pos="806"/>
        </w:tabs>
        <w:ind w:left="806" w:hanging="360"/>
      </w:pPr>
      <w:rPr>
        <w:rFonts w:ascii="Symbol" w:hAnsi="Symbol" w:hint="default"/>
      </w:rPr>
    </w:lvl>
    <w:lvl w:ilvl="1">
      <w:start w:val="1"/>
      <w:numFmt w:val="bullet"/>
      <w:lvlText w:val=""/>
      <w:lvlJc w:val="left"/>
      <w:pPr>
        <w:tabs>
          <w:tab w:val="num" w:pos="1166"/>
        </w:tabs>
        <w:ind w:left="1166" w:hanging="360"/>
      </w:pPr>
      <w:rPr>
        <w:rFonts w:ascii="Symbol" w:hAnsi="Symbol" w:hint="default"/>
      </w:rPr>
    </w:lvl>
    <w:lvl w:ilvl="2">
      <w:start w:val="1"/>
      <w:numFmt w:val="bullet"/>
      <w:lvlText w:val=""/>
      <w:lvlJc w:val="left"/>
      <w:pPr>
        <w:tabs>
          <w:tab w:val="num" w:pos="1526"/>
        </w:tabs>
        <w:ind w:left="1526" w:hanging="360"/>
      </w:pPr>
      <w:rPr>
        <w:rFonts w:ascii="Symbol" w:hAnsi="Symbol" w:hint="default"/>
      </w:rPr>
    </w:lvl>
    <w:lvl w:ilvl="3">
      <w:start w:val="1"/>
      <w:numFmt w:val="bullet"/>
      <w:lvlText w:val=""/>
      <w:lvlJc w:val="left"/>
      <w:pPr>
        <w:tabs>
          <w:tab w:val="num" w:pos="1886"/>
        </w:tabs>
        <w:ind w:left="1886" w:hanging="360"/>
      </w:pPr>
      <w:rPr>
        <w:rFonts w:ascii="Symbol" w:hAnsi="Symbol" w:hint="default"/>
      </w:rPr>
    </w:lvl>
    <w:lvl w:ilvl="4">
      <w:start w:val="1"/>
      <w:numFmt w:val="bullet"/>
      <w:lvlText w:val=""/>
      <w:lvlJc w:val="left"/>
      <w:pPr>
        <w:tabs>
          <w:tab w:val="num" w:pos="2246"/>
        </w:tabs>
        <w:ind w:left="2246" w:hanging="360"/>
      </w:pPr>
      <w:rPr>
        <w:rFonts w:ascii="Symbol" w:hAnsi="Symbol" w:hint="default"/>
      </w:rPr>
    </w:lvl>
    <w:lvl w:ilvl="5">
      <w:start w:val="1"/>
      <w:numFmt w:val="none"/>
      <w:lvlText w:val=""/>
      <w:lvlJc w:val="left"/>
      <w:pPr>
        <w:tabs>
          <w:tab w:val="num" w:pos="2606"/>
        </w:tabs>
        <w:ind w:left="2606" w:hanging="360"/>
      </w:pPr>
      <w:rPr>
        <w:rFonts w:hint="default"/>
      </w:rPr>
    </w:lvl>
    <w:lvl w:ilvl="6">
      <w:start w:val="1"/>
      <w:numFmt w:val="none"/>
      <w:lvlText w:val=""/>
      <w:lvlJc w:val="left"/>
      <w:pPr>
        <w:tabs>
          <w:tab w:val="num" w:pos="2966"/>
        </w:tabs>
        <w:ind w:left="2966" w:hanging="360"/>
      </w:pPr>
      <w:rPr>
        <w:rFonts w:hint="default"/>
      </w:rPr>
    </w:lvl>
    <w:lvl w:ilvl="7">
      <w:start w:val="1"/>
      <w:numFmt w:val="none"/>
      <w:lvlText w:val=""/>
      <w:lvlJc w:val="left"/>
      <w:pPr>
        <w:tabs>
          <w:tab w:val="num" w:pos="3326"/>
        </w:tabs>
        <w:ind w:left="3326" w:hanging="360"/>
      </w:pPr>
      <w:rPr>
        <w:rFonts w:hint="default"/>
      </w:rPr>
    </w:lvl>
    <w:lvl w:ilvl="8">
      <w:start w:val="1"/>
      <w:numFmt w:val="none"/>
      <w:lvlText w:val=""/>
      <w:lvlJc w:val="left"/>
      <w:pPr>
        <w:tabs>
          <w:tab w:val="num" w:pos="3686"/>
        </w:tabs>
        <w:ind w:left="3686" w:hanging="360"/>
      </w:pPr>
      <w:rPr>
        <w:rFonts w:hint="default"/>
      </w:rPr>
    </w:lvl>
  </w:abstractNum>
  <w:abstractNum w:abstractNumId="4">
    <w:nsid w:val="2AB35F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05B6A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2E82C08"/>
    <w:multiLevelType w:val="hybridMultilevel"/>
    <w:tmpl w:val="8B9ECE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
    <w:lvlOverride w:ilvl="0">
      <w:lvl w:ilvl="0">
        <w:numFmt w:val="bullet"/>
        <w:lvlText w:val=""/>
        <w:legacy w:legacy="1" w:legacySpace="0" w:legacyIndent="360"/>
        <w:lvlJc w:val="left"/>
        <w:rPr>
          <w:rFonts w:ascii="Symbol" w:hAnsi="Symbol" w:hint="default"/>
        </w:rPr>
      </w:lvl>
    </w:lvlOverride>
  </w:num>
  <w:num w:numId="2">
    <w:abstractNumId w:val="4"/>
  </w:num>
  <w:num w:numId="3">
    <w:abstractNumId w:val="5"/>
  </w:num>
  <w:num w:numId="4">
    <w:abstractNumId w:val="2"/>
  </w:num>
  <w:num w:numId="5">
    <w:abstractNumId w:val="2"/>
    <w:lvlOverride w:ilvl="0">
      <w:startOverride w:val="1"/>
    </w:lvlOverride>
  </w:num>
  <w:num w:numId="6">
    <w:abstractNumId w:val="3"/>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attachedTemplate r:id="rId1"/>
  <w:stylePaneFormatFilter w:val="3F01"/>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cVars>
    <w:docVar w:name="DebugSQL" w:val="SELECT count (distinct COID_DESC) FROM CORPORATE_IDENTITIES "/>
    <w:docVar w:name="PostDocument" w:val="Fine"/>
    <w:docVar w:name="Summary" w:val="GartnerGroup Reports IT Spending to Rise 67 Percent by 2002"/>
  </w:docVars>
  <w:rsids>
    <w:rsidRoot w:val="00FA0F98"/>
    <w:rsid w:val="00000093"/>
    <w:rsid w:val="00003CF5"/>
    <w:rsid w:val="00005AEA"/>
    <w:rsid w:val="0001227E"/>
    <w:rsid w:val="000129AA"/>
    <w:rsid w:val="00014DC9"/>
    <w:rsid w:val="00015A4A"/>
    <w:rsid w:val="00015EFE"/>
    <w:rsid w:val="0001753E"/>
    <w:rsid w:val="000215A0"/>
    <w:rsid w:val="00021633"/>
    <w:rsid w:val="0002273B"/>
    <w:rsid w:val="00027178"/>
    <w:rsid w:val="00030C40"/>
    <w:rsid w:val="00031DC1"/>
    <w:rsid w:val="00034E5A"/>
    <w:rsid w:val="00042BFC"/>
    <w:rsid w:val="00047404"/>
    <w:rsid w:val="000525E6"/>
    <w:rsid w:val="00054E2D"/>
    <w:rsid w:val="0005691F"/>
    <w:rsid w:val="00064453"/>
    <w:rsid w:val="00074DE6"/>
    <w:rsid w:val="000751D5"/>
    <w:rsid w:val="00076569"/>
    <w:rsid w:val="000770D0"/>
    <w:rsid w:val="00083046"/>
    <w:rsid w:val="00083B88"/>
    <w:rsid w:val="000854B6"/>
    <w:rsid w:val="00087B5E"/>
    <w:rsid w:val="000A1057"/>
    <w:rsid w:val="000A2A94"/>
    <w:rsid w:val="000A6F7B"/>
    <w:rsid w:val="000B114C"/>
    <w:rsid w:val="000B6A89"/>
    <w:rsid w:val="000B7E1B"/>
    <w:rsid w:val="000D16E2"/>
    <w:rsid w:val="000D28AC"/>
    <w:rsid w:val="000D3A12"/>
    <w:rsid w:val="000D4720"/>
    <w:rsid w:val="000E02D3"/>
    <w:rsid w:val="000E121D"/>
    <w:rsid w:val="000E1CB2"/>
    <w:rsid w:val="000E2129"/>
    <w:rsid w:val="000E3C08"/>
    <w:rsid w:val="000F0AA5"/>
    <w:rsid w:val="000F3246"/>
    <w:rsid w:val="000F686C"/>
    <w:rsid w:val="00102296"/>
    <w:rsid w:val="00102C7E"/>
    <w:rsid w:val="00102D44"/>
    <w:rsid w:val="001061FA"/>
    <w:rsid w:val="0010625C"/>
    <w:rsid w:val="00107836"/>
    <w:rsid w:val="00113922"/>
    <w:rsid w:val="0011400B"/>
    <w:rsid w:val="001305C2"/>
    <w:rsid w:val="001354BE"/>
    <w:rsid w:val="00142CB6"/>
    <w:rsid w:val="001458E5"/>
    <w:rsid w:val="001550C2"/>
    <w:rsid w:val="00156BAB"/>
    <w:rsid w:val="001576A9"/>
    <w:rsid w:val="001579FD"/>
    <w:rsid w:val="00161847"/>
    <w:rsid w:val="00163BA6"/>
    <w:rsid w:val="001649C6"/>
    <w:rsid w:val="00165E75"/>
    <w:rsid w:val="00170F76"/>
    <w:rsid w:val="00171731"/>
    <w:rsid w:val="00176C18"/>
    <w:rsid w:val="0018189A"/>
    <w:rsid w:val="001829FD"/>
    <w:rsid w:val="001A0D22"/>
    <w:rsid w:val="001A3F9C"/>
    <w:rsid w:val="001B5C5E"/>
    <w:rsid w:val="001C00DF"/>
    <w:rsid w:val="001C1D9F"/>
    <w:rsid w:val="001C26F3"/>
    <w:rsid w:val="001C51D3"/>
    <w:rsid w:val="001D2EA0"/>
    <w:rsid w:val="001D6C52"/>
    <w:rsid w:val="001D6F9C"/>
    <w:rsid w:val="001D701E"/>
    <w:rsid w:val="001D7B94"/>
    <w:rsid w:val="001E2DF6"/>
    <w:rsid w:val="001E4642"/>
    <w:rsid w:val="001E6695"/>
    <w:rsid w:val="001F5B44"/>
    <w:rsid w:val="001F6302"/>
    <w:rsid w:val="0020461D"/>
    <w:rsid w:val="00204D20"/>
    <w:rsid w:val="002145E6"/>
    <w:rsid w:val="0021674F"/>
    <w:rsid w:val="002172E1"/>
    <w:rsid w:val="00221DD1"/>
    <w:rsid w:val="002244B6"/>
    <w:rsid w:val="00224C83"/>
    <w:rsid w:val="002303E0"/>
    <w:rsid w:val="00231538"/>
    <w:rsid w:val="00232BD1"/>
    <w:rsid w:val="00234001"/>
    <w:rsid w:val="0023466E"/>
    <w:rsid w:val="00236D9A"/>
    <w:rsid w:val="00241C08"/>
    <w:rsid w:val="002429C3"/>
    <w:rsid w:val="00243460"/>
    <w:rsid w:val="00244F79"/>
    <w:rsid w:val="00245E15"/>
    <w:rsid w:val="002620A1"/>
    <w:rsid w:val="00262B12"/>
    <w:rsid w:val="00262FC1"/>
    <w:rsid w:val="002632E6"/>
    <w:rsid w:val="00264B72"/>
    <w:rsid w:val="002743BB"/>
    <w:rsid w:val="00275A9F"/>
    <w:rsid w:val="00281932"/>
    <w:rsid w:val="00281E83"/>
    <w:rsid w:val="00282234"/>
    <w:rsid w:val="002830DD"/>
    <w:rsid w:val="00283325"/>
    <w:rsid w:val="00283DC1"/>
    <w:rsid w:val="0028419E"/>
    <w:rsid w:val="00287568"/>
    <w:rsid w:val="00290804"/>
    <w:rsid w:val="0029156C"/>
    <w:rsid w:val="00295B3E"/>
    <w:rsid w:val="00296007"/>
    <w:rsid w:val="002A748F"/>
    <w:rsid w:val="002B03E3"/>
    <w:rsid w:val="002B4228"/>
    <w:rsid w:val="002B7AA8"/>
    <w:rsid w:val="002C1F2B"/>
    <w:rsid w:val="002C29E5"/>
    <w:rsid w:val="002C2E1C"/>
    <w:rsid w:val="002C47CE"/>
    <w:rsid w:val="002C5AC0"/>
    <w:rsid w:val="002D3BEE"/>
    <w:rsid w:val="002D6546"/>
    <w:rsid w:val="002E0AA9"/>
    <w:rsid w:val="002E1A97"/>
    <w:rsid w:val="002E3633"/>
    <w:rsid w:val="002E4CC8"/>
    <w:rsid w:val="002F3FFE"/>
    <w:rsid w:val="002F6285"/>
    <w:rsid w:val="003004EA"/>
    <w:rsid w:val="00310D22"/>
    <w:rsid w:val="00315ED8"/>
    <w:rsid w:val="00315F08"/>
    <w:rsid w:val="00317C88"/>
    <w:rsid w:val="0032589F"/>
    <w:rsid w:val="00326D41"/>
    <w:rsid w:val="00330630"/>
    <w:rsid w:val="00331575"/>
    <w:rsid w:val="00345DEC"/>
    <w:rsid w:val="00350D6C"/>
    <w:rsid w:val="00351261"/>
    <w:rsid w:val="00357EBE"/>
    <w:rsid w:val="00360C92"/>
    <w:rsid w:val="00361016"/>
    <w:rsid w:val="003652E9"/>
    <w:rsid w:val="00370821"/>
    <w:rsid w:val="003732FF"/>
    <w:rsid w:val="003833CA"/>
    <w:rsid w:val="00391B30"/>
    <w:rsid w:val="0039218E"/>
    <w:rsid w:val="003922AC"/>
    <w:rsid w:val="00392B18"/>
    <w:rsid w:val="00392B84"/>
    <w:rsid w:val="0039366D"/>
    <w:rsid w:val="00394175"/>
    <w:rsid w:val="00394B1C"/>
    <w:rsid w:val="00396060"/>
    <w:rsid w:val="003A1A53"/>
    <w:rsid w:val="003A3B0E"/>
    <w:rsid w:val="003A6D9B"/>
    <w:rsid w:val="003B096C"/>
    <w:rsid w:val="003B209D"/>
    <w:rsid w:val="003B3E52"/>
    <w:rsid w:val="003B5626"/>
    <w:rsid w:val="003C23E0"/>
    <w:rsid w:val="003C2895"/>
    <w:rsid w:val="003C4814"/>
    <w:rsid w:val="003C4ACF"/>
    <w:rsid w:val="003C7766"/>
    <w:rsid w:val="003D14C0"/>
    <w:rsid w:val="003E1FE3"/>
    <w:rsid w:val="003E523F"/>
    <w:rsid w:val="003F3BF7"/>
    <w:rsid w:val="003F6B06"/>
    <w:rsid w:val="003F703C"/>
    <w:rsid w:val="00402BBD"/>
    <w:rsid w:val="00406C92"/>
    <w:rsid w:val="00414218"/>
    <w:rsid w:val="00414A6E"/>
    <w:rsid w:val="004159F8"/>
    <w:rsid w:val="00422582"/>
    <w:rsid w:val="004300B1"/>
    <w:rsid w:val="00431C0C"/>
    <w:rsid w:val="004353B8"/>
    <w:rsid w:val="00435962"/>
    <w:rsid w:val="00445B0B"/>
    <w:rsid w:val="00445E75"/>
    <w:rsid w:val="00453144"/>
    <w:rsid w:val="00462C1B"/>
    <w:rsid w:val="00463471"/>
    <w:rsid w:val="00472A3D"/>
    <w:rsid w:val="00485E74"/>
    <w:rsid w:val="004905FB"/>
    <w:rsid w:val="004934BD"/>
    <w:rsid w:val="00494515"/>
    <w:rsid w:val="004953F0"/>
    <w:rsid w:val="004A4A97"/>
    <w:rsid w:val="004B11A7"/>
    <w:rsid w:val="004B444E"/>
    <w:rsid w:val="004B4730"/>
    <w:rsid w:val="004B4E70"/>
    <w:rsid w:val="004B73BD"/>
    <w:rsid w:val="004C2257"/>
    <w:rsid w:val="004D2456"/>
    <w:rsid w:val="004D65FE"/>
    <w:rsid w:val="004D7A55"/>
    <w:rsid w:val="004E0042"/>
    <w:rsid w:val="004E16D7"/>
    <w:rsid w:val="004E5021"/>
    <w:rsid w:val="004F3D32"/>
    <w:rsid w:val="00500F86"/>
    <w:rsid w:val="005010EE"/>
    <w:rsid w:val="0050795B"/>
    <w:rsid w:val="00507FA3"/>
    <w:rsid w:val="00510F99"/>
    <w:rsid w:val="0051359F"/>
    <w:rsid w:val="005150E7"/>
    <w:rsid w:val="00515904"/>
    <w:rsid w:val="005207CC"/>
    <w:rsid w:val="00520C36"/>
    <w:rsid w:val="0052653D"/>
    <w:rsid w:val="005276E6"/>
    <w:rsid w:val="0053735A"/>
    <w:rsid w:val="005434B9"/>
    <w:rsid w:val="00543C0B"/>
    <w:rsid w:val="00547BCD"/>
    <w:rsid w:val="0055767C"/>
    <w:rsid w:val="005610B2"/>
    <w:rsid w:val="005622E3"/>
    <w:rsid w:val="0056513A"/>
    <w:rsid w:val="005737A9"/>
    <w:rsid w:val="00575A54"/>
    <w:rsid w:val="00580D50"/>
    <w:rsid w:val="005823C1"/>
    <w:rsid w:val="00583CEF"/>
    <w:rsid w:val="00584892"/>
    <w:rsid w:val="005879D4"/>
    <w:rsid w:val="0059326E"/>
    <w:rsid w:val="0059350D"/>
    <w:rsid w:val="005A4540"/>
    <w:rsid w:val="005A5D7A"/>
    <w:rsid w:val="005B06AE"/>
    <w:rsid w:val="005B18EE"/>
    <w:rsid w:val="005B2416"/>
    <w:rsid w:val="005B4879"/>
    <w:rsid w:val="005B6FB4"/>
    <w:rsid w:val="005C0B78"/>
    <w:rsid w:val="005C1B0D"/>
    <w:rsid w:val="005C21C7"/>
    <w:rsid w:val="005C2CE9"/>
    <w:rsid w:val="005C48CE"/>
    <w:rsid w:val="005C6C0F"/>
    <w:rsid w:val="005C7320"/>
    <w:rsid w:val="005D2237"/>
    <w:rsid w:val="005D38B8"/>
    <w:rsid w:val="005D3D4F"/>
    <w:rsid w:val="005D6BF5"/>
    <w:rsid w:val="005E2EAF"/>
    <w:rsid w:val="005E3461"/>
    <w:rsid w:val="005E43F8"/>
    <w:rsid w:val="005E5B1E"/>
    <w:rsid w:val="005E6B0D"/>
    <w:rsid w:val="005E73ED"/>
    <w:rsid w:val="005F24B1"/>
    <w:rsid w:val="005F3D0D"/>
    <w:rsid w:val="005F4A28"/>
    <w:rsid w:val="005F7CA3"/>
    <w:rsid w:val="006016E5"/>
    <w:rsid w:val="006107C7"/>
    <w:rsid w:val="00622F59"/>
    <w:rsid w:val="006320C7"/>
    <w:rsid w:val="0063486C"/>
    <w:rsid w:val="006349C7"/>
    <w:rsid w:val="00651024"/>
    <w:rsid w:val="00652532"/>
    <w:rsid w:val="0065550F"/>
    <w:rsid w:val="006556BA"/>
    <w:rsid w:val="006673BD"/>
    <w:rsid w:val="00670C2C"/>
    <w:rsid w:val="00672429"/>
    <w:rsid w:val="00675E16"/>
    <w:rsid w:val="006806FF"/>
    <w:rsid w:val="00683C6B"/>
    <w:rsid w:val="00691AD3"/>
    <w:rsid w:val="00694524"/>
    <w:rsid w:val="0069459D"/>
    <w:rsid w:val="006A439D"/>
    <w:rsid w:val="006A5BF8"/>
    <w:rsid w:val="006A61FE"/>
    <w:rsid w:val="006A77A1"/>
    <w:rsid w:val="006B0DC3"/>
    <w:rsid w:val="006B359B"/>
    <w:rsid w:val="006B4CAE"/>
    <w:rsid w:val="006B7EA3"/>
    <w:rsid w:val="006C19DB"/>
    <w:rsid w:val="006C3B1B"/>
    <w:rsid w:val="006D03E7"/>
    <w:rsid w:val="006D0C36"/>
    <w:rsid w:val="006D15F6"/>
    <w:rsid w:val="006D199F"/>
    <w:rsid w:val="006D64E7"/>
    <w:rsid w:val="006E16E1"/>
    <w:rsid w:val="006E6E0A"/>
    <w:rsid w:val="006E6E1C"/>
    <w:rsid w:val="006F0705"/>
    <w:rsid w:val="006F0794"/>
    <w:rsid w:val="006F4267"/>
    <w:rsid w:val="006F56B0"/>
    <w:rsid w:val="007012A8"/>
    <w:rsid w:val="00701DEC"/>
    <w:rsid w:val="00705B95"/>
    <w:rsid w:val="00706FFF"/>
    <w:rsid w:val="00716857"/>
    <w:rsid w:val="0071711C"/>
    <w:rsid w:val="00721358"/>
    <w:rsid w:val="00723EA1"/>
    <w:rsid w:val="00725D0F"/>
    <w:rsid w:val="00727FE0"/>
    <w:rsid w:val="00734AF8"/>
    <w:rsid w:val="00734BDB"/>
    <w:rsid w:val="0073531F"/>
    <w:rsid w:val="007362E4"/>
    <w:rsid w:val="007501F8"/>
    <w:rsid w:val="007506EE"/>
    <w:rsid w:val="007517D8"/>
    <w:rsid w:val="007544AE"/>
    <w:rsid w:val="00756009"/>
    <w:rsid w:val="00760BFC"/>
    <w:rsid w:val="00761EC2"/>
    <w:rsid w:val="00763A2F"/>
    <w:rsid w:val="007677FF"/>
    <w:rsid w:val="0077054E"/>
    <w:rsid w:val="00772CB3"/>
    <w:rsid w:val="00780A50"/>
    <w:rsid w:val="00780D4E"/>
    <w:rsid w:val="0078280B"/>
    <w:rsid w:val="00785DFE"/>
    <w:rsid w:val="007A491D"/>
    <w:rsid w:val="007A714B"/>
    <w:rsid w:val="007B007B"/>
    <w:rsid w:val="007B3F00"/>
    <w:rsid w:val="007B5BEB"/>
    <w:rsid w:val="007C028B"/>
    <w:rsid w:val="007C3060"/>
    <w:rsid w:val="007C31B7"/>
    <w:rsid w:val="007D5CCD"/>
    <w:rsid w:val="007D7EAD"/>
    <w:rsid w:val="007E217B"/>
    <w:rsid w:val="007E364C"/>
    <w:rsid w:val="007E59DA"/>
    <w:rsid w:val="007E7BED"/>
    <w:rsid w:val="007F1E86"/>
    <w:rsid w:val="007F6425"/>
    <w:rsid w:val="0080446D"/>
    <w:rsid w:val="008069B4"/>
    <w:rsid w:val="008071DA"/>
    <w:rsid w:val="00807934"/>
    <w:rsid w:val="00807B03"/>
    <w:rsid w:val="00812FDA"/>
    <w:rsid w:val="00813712"/>
    <w:rsid w:val="00813B7E"/>
    <w:rsid w:val="00814D79"/>
    <w:rsid w:val="00815AA6"/>
    <w:rsid w:val="008179FB"/>
    <w:rsid w:val="00817DE1"/>
    <w:rsid w:val="00823446"/>
    <w:rsid w:val="00826577"/>
    <w:rsid w:val="00826844"/>
    <w:rsid w:val="00831AAA"/>
    <w:rsid w:val="00832424"/>
    <w:rsid w:val="00832957"/>
    <w:rsid w:val="00835794"/>
    <w:rsid w:val="0083633D"/>
    <w:rsid w:val="00845DE8"/>
    <w:rsid w:val="00847569"/>
    <w:rsid w:val="00847896"/>
    <w:rsid w:val="008516C1"/>
    <w:rsid w:val="008548D2"/>
    <w:rsid w:val="00855181"/>
    <w:rsid w:val="00864CA5"/>
    <w:rsid w:val="0087575E"/>
    <w:rsid w:val="00875F75"/>
    <w:rsid w:val="00876A66"/>
    <w:rsid w:val="008801B1"/>
    <w:rsid w:val="00883B05"/>
    <w:rsid w:val="00884376"/>
    <w:rsid w:val="008906C7"/>
    <w:rsid w:val="00892881"/>
    <w:rsid w:val="008945EC"/>
    <w:rsid w:val="008A1922"/>
    <w:rsid w:val="008A1CA1"/>
    <w:rsid w:val="008A64EF"/>
    <w:rsid w:val="008B15A0"/>
    <w:rsid w:val="008B21C2"/>
    <w:rsid w:val="008B27B6"/>
    <w:rsid w:val="008B50C3"/>
    <w:rsid w:val="008B5CAC"/>
    <w:rsid w:val="008B79E7"/>
    <w:rsid w:val="008C5A9C"/>
    <w:rsid w:val="008C71FA"/>
    <w:rsid w:val="008C7733"/>
    <w:rsid w:val="008D1207"/>
    <w:rsid w:val="008D3F90"/>
    <w:rsid w:val="008D5319"/>
    <w:rsid w:val="008E0003"/>
    <w:rsid w:val="008F45D1"/>
    <w:rsid w:val="008F5B75"/>
    <w:rsid w:val="0090037D"/>
    <w:rsid w:val="00900E8A"/>
    <w:rsid w:val="00902A5A"/>
    <w:rsid w:val="009074CD"/>
    <w:rsid w:val="00910019"/>
    <w:rsid w:val="00912EC0"/>
    <w:rsid w:val="00914EF6"/>
    <w:rsid w:val="00925617"/>
    <w:rsid w:val="0093013A"/>
    <w:rsid w:val="00933D42"/>
    <w:rsid w:val="009368A1"/>
    <w:rsid w:val="00943533"/>
    <w:rsid w:val="0094509F"/>
    <w:rsid w:val="0094528B"/>
    <w:rsid w:val="00945A22"/>
    <w:rsid w:val="00953A37"/>
    <w:rsid w:val="009602E1"/>
    <w:rsid w:val="00962705"/>
    <w:rsid w:val="00971CEB"/>
    <w:rsid w:val="00983C3D"/>
    <w:rsid w:val="00983EEA"/>
    <w:rsid w:val="009844CB"/>
    <w:rsid w:val="009856F0"/>
    <w:rsid w:val="0099223E"/>
    <w:rsid w:val="00993573"/>
    <w:rsid w:val="00995A43"/>
    <w:rsid w:val="00997739"/>
    <w:rsid w:val="009A159F"/>
    <w:rsid w:val="009A1EDB"/>
    <w:rsid w:val="009B0AD4"/>
    <w:rsid w:val="009B66AD"/>
    <w:rsid w:val="009C0946"/>
    <w:rsid w:val="009C594B"/>
    <w:rsid w:val="009C7CEE"/>
    <w:rsid w:val="009D055D"/>
    <w:rsid w:val="009D092C"/>
    <w:rsid w:val="009D2304"/>
    <w:rsid w:val="009D314E"/>
    <w:rsid w:val="009D437E"/>
    <w:rsid w:val="009D6113"/>
    <w:rsid w:val="009E1DC9"/>
    <w:rsid w:val="009E227C"/>
    <w:rsid w:val="009E3140"/>
    <w:rsid w:val="009E56C7"/>
    <w:rsid w:val="009F20A4"/>
    <w:rsid w:val="009F261E"/>
    <w:rsid w:val="009F696C"/>
    <w:rsid w:val="009F7F36"/>
    <w:rsid w:val="00A0173F"/>
    <w:rsid w:val="00A10B18"/>
    <w:rsid w:val="00A116EE"/>
    <w:rsid w:val="00A1390F"/>
    <w:rsid w:val="00A14256"/>
    <w:rsid w:val="00A2107F"/>
    <w:rsid w:val="00A26D4F"/>
    <w:rsid w:val="00A2790C"/>
    <w:rsid w:val="00A34A7E"/>
    <w:rsid w:val="00A370DD"/>
    <w:rsid w:val="00A52254"/>
    <w:rsid w:val="00A56DE5"/>
    <w:rsid w:val="00A57459"/>
    <w:rsid w:val="00A575A6"/>
    <w:rsid w:val="00A63658"/>
    <w:rsid w:val="00A67541"/>
    <w:rsid w:val="00A703A7"/>
    <w:rsid w:val="00A7212F"/>
    <w:rsid w:val="00A743C7"/>
    <w:rsid w:val="00A767E2"/>
    <w:rsid w:val="00A9448F"/>
    <w:rsid w:val="00A9619D"/>
    <w:rsid w:val="00A96CC1"/>
    <w:rsid w:val="00AA0135"/>
    <w:rsid w:val="00AA3E89"/>
    <w:rsid w:val="00AA79D2"/>
    <w:rsid w:val="00AB306F"/>
    <w:rsid w:val="00AB7CF0"/>
    <w:rsid w:val="00AC48AD"/>
    <w:rsid w:val="00AD07F5"/>
    <w:rsid w:val="00AD2B3F"/>
    <w:rsid w:val="00AD78EB"/>
    <w:rsid w:val="00AE0582"/>
    <w:rsid w:val="00AE7438"/>
    <w:rsid w:val="00AF5F8B"/>
    <w:rsid w:val="00B00519"/>
    <w:rsid w:val="00B00AB9"/>
    <w:rsid w:val="00B05735"/>
    <w:rsid w:val="00B13894"/>
    <w:rsid w:val="00B21221"/>
    <w:rsid w:val="00B22A7B"/>
    <w:rsid w:val="00B2498F"/>
    <w:rsid w:val="00B26E86"/>
    <w:rsid w:val="00B313FD"/>
    <w:rsid w:val="00B3211B"/>
    <w:rsid w:val="00B32F39"/>
    <w:rsid w:val="00B35DAD"/>
    <w:rsid w:val="00B41251"/>
    <w:rsid w:val="00B501AB"/>
    <w:rsid w:val="00B51A48"/>
    <w:rsid w:val="00B55C11"/>
    <w:rsid w:val="00B57232"/>
    <w:rsid w:val="00B57A83"/>
    <w:rsid w:val="00B60880"/>
    <w:rsid w:val="00B615BA"/>
    <w:rsid w:val="00B63079"/>
    <w:rsid w:val="00B63F7E"/>
    <w:rsid w:val="00B73CFD"/>
    <w:rsid w:val="00B75E84"/>
    <w:rsid w:val="00B76FC8"/>
    <w:rsid w:val="00B801A4"/>
    <w:rsid w:val="00B82980"/>
    <w:rsid w:val="00B833C9"/>
    <w:rsid w:val="00B87394"/>
    <w:rsid w:val="00B90079"/>
    <w:rsid w:val="00B94623"/>
    <w:rsid w:val="00BA03F3"/>
    <w:rsid w:val="00BA22DC"/>
    <w:rsid w:val="00BA33E5"/>
    <w:rsid w:val="00BA48F8"/>
    <w:rsid w:val="00BA6BF6"/>
    <w:rsid w:val="00BB136D"/>
    <w:rsid w:val="00BB1FCC"/>
    <w:rsid w:val="00BB2C02"/>
    <w:rsid w:val="00BB44E6"/>
    <w:rsid w:val="00BB4968"/>
    <w:rsid w:val="00BB7C7E"/>
    <w:rsid w:val="00BC18B3"/>
    <w:rsid w:val="00BC543D"/>
    <w:rsid w:val="00BC7CCE"/>
    <w:rsid w:val="00BD4167"/>
    <w:rsid w:val="00BD7384"/>
    <w:rsid w:val="00BE19B1"/>
    <w:rsid w:val="00BE53DE"/>
    <w:rsid w:val="00BE62BB"/>
    <w:rsid w:val="00BE7214"/>
    <w:rsid w:val="00BE7634"/>
    <w:rsid w:val="00BF12B0"/>
    <w:rsid w:val="00BF3EA4"/>
    <w:rsid w:val="00BF6156"/>
    <w:rsid w:val="00BF6E11"/>
    <w:rsid w:val="00BF7730"/>
    <w:rsid w:val="00C01886"/>
    <w:rsid w:val="00C0267E"/>
    <w:rsid w:val="00C03488"/>
    <w:rsid w:val="00C060DF"/>
    <w:rsid w:val="00C16CD3"/>
    <w:rsid w:val="00C23BF0"/>
    <w:rsid w:val="00C300F5"/>
    <w:rsid w:val="00C3019E"/>
    <w:rsid w:val="00C3150B"/>
    <w:rsid w:val="00C3202E"/>
    <w:rsid w:val="00C330E5"/>
    <w:rsid w:val="00C331C0"/>
    <w:rsid w:val="00C40802"/>
    <w:rsid w:val="00C426A0"/>
    <w:rsid w:val="00C47D7D"/>
    <w:rsid w:val="00C574D2"/>
    <w:rsid w:val="00C60210"/>
    <w:rsid w:val="00C60FD2"/>
    <w:rsid w:val="00C654E2"/>
    <w:rsid w:val="00C65AAB"/>
    <w:rsid w:val="00C663BB"/>
    <w:rsid w:val="00C67B8D"/>
    <w:rsid w:val="00C741BB"/>
    <w:rsid w:val="00C744C2"/>
    <w:rsid w:val="00C77BD9"/>
    <w:rsid w:val="00C94A2D"/>
    <w:rsid w:val="00C97D8B"/>
    <w:rsid w:val="00CA493C"/>
    <w:rsid w:val="00CA7DE1"/>
    <w:rsid w:val="00CB13C8"/>
    <w:rsid w:val="00CB2104"/>
    <w:rsid w:val="00CB22C5"/>
    <w:rsid w:val="00CB4279"/>
    <w:rsid w:val="00CC057A"/>
    <w:rsid w:val="00CC2615"/>
    <w:rsid w:val="00CC6A86"/>
    <w:rsid w:val="00CC7076"/>
    <w:rsid w:val="00CD0157"/>
    <w:rsid w:val="00CD1523"/>
    <w:rsid w:val="00CD1E5F"/>
    <w:rsid w:val="00CD490F"/>
    <w:rsid w:val="00CD723A"/>
    <w:rsid w:val="00CE0978"/>
    <w:rsid w:val="00CE0E5E"/>
    <w:rsid w:val="00CE2EA5"/>
    <w:rsid w:val="00CF45BF"/>
    <w:rsid w:val="00CF7B7E"/>
    <w:rsid w:val="00D000D7"/>
    <w:rsid w:val="00D0067C"/>
    <w:rsid w:val="00D0098E"/>
    <w:rsid w:val="00D06B5D"/>
    <w:rsid w:val="00D07B61"/>
    <w:rsid w:val="00D14645"/>
    <w:rsid w:val="00D2237C"/>
    <w:rsid w:val="00D22C45"/>
    <w:rsid w:val="00D23F24"/>
    <w:rsid w:val="00D24BD0"/>
    <w:rsid w:val="00D25C91"/>
    <w:rsid w:val="00D25CCE"/>
    <w:rsid w:val="00D347DF"/>
    <w:rsid w:val="00D42316"/>
    <w:rsid w:val="00D45E17"/>
    <w:rsid w:val="00D462DD"/>
    <w:rsid w:val="00D479ED"/>
    <w:rsid w:val="00D507F3"/>
    <w:rsid w:val="00D50D17"/>
    <w:rsid w:val="00D51C58"/>
    <w:rsid w:val="00D543AA"/>
    <w:rsid w:val="00D5449F"/>
    <w:rsid w:val="00D54A24"/>
    <w:rsid w:val="00D645A8"/>
    <w:rsid w:val="00D6518D"/>
    <w:rsid w:val="00D65510"/>
    <w:rsid w:val="00D70A78"/>
    <w:rsid w:val="00D72A3A"/>
    <w:rsid w:val="00D777DB"/>
    <w:rsid w:val="00D85789"/>
    <w:rsid w:val="00D870FE"/>
    <w:rsid w:val="00D91B9B"/>
    <w:rsid w:val="00D91D3B"/>
    <w:rsid w:val="00D964F8"/>
    <w:rsid w:val="00D96C76"/>
    <w:rsid w:val="00DA26F1"/>
    <w:rsid w:val="00DA3E68"/>
    <w:rsid w:val="00DB2CCA"/>
    <w:rsid w:val="00DB3F98"/>
    <w:rsid w:val="00DB4B92"/>
    <w:rsid w:val="00DB5AC0"/>
    <w:rsid w:val="00DC1442"/>
    <w:rsid w:val="00DC214E"/>
    <w:rsid w:val="00DC4761"/>
    <w:rsid w:val="00DC5305"/>
    <w:rsid w:val="00DD062B"/>
    <w:rsid w:val="00DD0F2F"/>
    <w:rsid w:val="00DD15C0"/>
    <w:rsid w:val="00DD2C11"/>
    <w:rsid w:val="00DD2EEA"/>
    <w:rsid w:val="00DD417E"/>
    <w:rsid w:val="00DD5289"/>
    <w:rsid w:val="00DD6284"/>
    <w:rsid w:val="00DE1816"/>
    <w:rsid w:val="00DE1DA0"/>
    <w:rsid w:val="00E050A9"/>
    <w:rsid w:val="00E11E98"/>
    <w:rsid w:val="00E151AD"/>
    <w:rsid w:val="00E16815"/>
    <w:rsid w:val="00E23C5B"/>
    <w:rsid w:val="00E329E2"/>
    <w:rsid w:val="00E33007"/>
    <w:rsid w:val="00E3467D"/>
    <w:rsid w:val="00E4265C"/>
    <w:rsid w:val="00E4399E"/>
    <w:rsid w:val="00E4482A"/>
    <w:rsid w:val="00E46BA4"/>
    <w:rsid w:val="00E51225"/>
    <w:rsid w:val="00E54635"/>
    <w:rsid w:val="00E66354"/>
    <w:rsid w:val="00E66A9B"/>
    <w:rsid w:val="00E679C5"/>
    <w:rsid w:val="00E67B24"/>
    <w:rsid w:val="00E7328F"/>
    <w:rsid w:val="00E75384"/>
    <w:rsid w:val="00E80C7A"/>
    <w:rsid w:val="00E81A81"/>
    <w:rsid w:val="00E81D5F"/>
    <w:rsid w:val="00E8448F"/>
    <w:rsid w:val="00E851F7"/>
    <w:rsid w:val="00EA07D0"/>
    <w:rsid w:val="00EA0B42"/>
    <w:rsid w:val="00EA0C1B"/>
    <w:rsid w:val="00EA4CE9"/>
    <w:rsid w:val="00EA5857"/>
    <w:rsid w:val="00EB4453"/>
    <w:rsid w:val="00EB4543"/>
    <w:rsid w:val="00EC495A"/>
    <w:rsid w:val="00ED3CBC"/>
    <w:rsid w:val="00ED5C9E"/>
    <w:rsid w:val="00ED6782"/>
    <w:rsid w:val="00ED78ED"/>
    <w:rsid w:val="00ED7C37"/>
    <w:rsid w:val="00EE4A46"/>
    <w:rsid w:val="00EE5807"/>
    <w:rsid w:val="00EE6A82"/>
    <w:rsid w:val="00EE7A40"/>
    <w:rsid w:val="00EF3601"/>
    <w:rsid w:val="00EF4A56"/>
    <w:rsid w:val="00EF676C"/>
    <w:rsid w:val="00F0387D"/>
    <w:rsid w:val="00F06467"/>
    <w:rsid w:val="00F11DB5"/>
    <w:rsid w:val="00F14F80"/>
    <w:rsid w:val="00F33925"/>
    <w:rsid w:val="00F34593"/>
    <w:rsid w:val="00F35DF7"/>
    <w:rsid w:val="00F379D0"/>
    <w:rsid w:val="00F40B98"/>
    <w:rsid w:val="00F4196F"/>
    <w:rsid w:val="00F53208"/>
    <w:rsid w:val="00F534CB"/>
    <w:rsid w:val="00F5495A"/>
    <w:rsid w:val="00F54EAA"/>
    <w:rsid w:val="00F56703"/>
    <w:rsid w:val="00F61358"/>
    <w:rsid w:val="00F6207B"/>
    <w:rsid w:val="00F62482"/>
    <w:rsid w:val="00F6411E"/>
    <w:rsid w:val="00F654BB"/>
    <w:rsid w:val="00F71586"/>
    <w:rsid w:val="00F760E0"/>
    <w:rsid w:val="00F765FB"/>
    <w:rsid w:val="00F76E6A"/>
    <w:rsid w:val="00F80A30"/>
    <w:rsid w:val="00F81FDE"/>
    <w:rsid w:val="00F85DF5"/>
    <w:rsid w:val="00F930B3"/>
    <w:rsid w:val="00FA0F98"/>
    <w:rsid w:val="00FA0FA3"/>
    <w:rsid w:val="00FA49C6"/>
    <w:rsid w:val="00FA4E96"/>
    <w:rsid w:val="00FA713E"/>
    <w:rsid w:val="00FB177C"/>
    <w:rsid w:val="00FB2C3B"/>
    <w:rsid w:val="00FB5F27"/>
    <w:rsid w:val="00FB613A"/>
    <w:rsid w:val="00FC4E1F"/>
    <w:rsid w:val="00FC5657"/>
    <w:rsid w:val="00FD04BC"/>
    <w:rsid w:val="00FD2F46"/>
    <w:rsid w:val="00FD46BF"/>
    <w:rsid w:val="00FD5EA6"/>
    <w:rsid w:val="00FE3B74"/>
    <w:rsid w:val="00FE66AE"/>
    <w:rsid w:val="00FE6876"/>
    <w:rsid w:val="00FF1106"/>
    <w:rsid w:val="00FF5F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48F"/>
    <w:pPr>
      <w:jc w:val="both"/>
    </w:pPr>
    <w:rPr>
      <w:rFonts w:ascii="Arial" w:hAnsi="Arial"/>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360" w:after="60" w:line="280" w:lineRule="atLeast"/>
      <w:outlineLvl w:val="1"/>
    </w:pPr>
    <w:rPr>
      <w:b/>
      <w:sz w:val="24"/>
    </w:rPr>
  </w:style>
  <w:style w:type="paragraph" w:styleId="Heading3">
    <w:name w:val="heading 3"/>
    <w:basedOn w:val="Normal"/>
    <w:next w:val="Normal"/>
    <w:qFormat/>
    <w:pPr>
      <w:keepNext/>
      <w:spacing w:before="240" w:after="60"/>
      <w:outlineLvl w:val="2"/>
    </w:pPr>
    <w:rPr>
      <w:sz w:val="24"/>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jc w:val="center"/>
      <w:outlineLvl w:val="4"/>
    </w:pPr>
    <w:rPr>
      <w:i/>
      <w:sz w:val="24"/>
    </w:rPr>
  </w:style>
  <w:style w:type="paragraph" w:styleId="Heading6">
    <w:name w:val="heading 6"/>
    <w:basedOn w:val="Normal"/>
    <w:next w:val="Normal"/>
    <w:qFormat/>
    <w:pPr>
      <w:keepNext/>
      <w:jc w:val="left"/>
      <w:outlineLvl w:val="5"/>
    </w:pPr>
    <w:rPr>
      <w:b/>
      <w:snapToGrid w:val="0"/>
      <w:color w:val="0000FF"/>
      <w:sz w:val="22"/>
    </w:rPr>
  </w:style>
  <w:style w:type="paragraph" w:styleId="Heading7">
    <w:name w:val="heading 7"/>
    <w:basedOn w:val="Normal"/>
    <w:next w:val="Normal"/>
    <w:qFormat/>
    <w:pPr>
      <w:keepNext/>
      <w:spacing w:after="120"/>
      <w:jc w:val="center"/>
      <w:outlineLvl w:val="6"/>
    </w:pPr>
    <w:rPr>
      <w:b/>
      <w:i/>
      <w:color w:val="000000"/>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Text">
    <w:name w:val="_Text"/>
    <w:basedOn w:val="Normal"/>
  </w:style>
  <w:style w:type="character" w:styleId="PageNumber">
    <w:name w:val="page number"/>
    <w:basedOn w:val="DefaultParagraphFont"/>
  </w:style>
  <w:style w:type="paragraph" w:customStyle="1" w:styleId="xFtrLogo">
    <w:name w:val="x_FtrLogo"/>
    <w:basedOn w:val="Normal"/>
    <w:pPr>
      <w:spacing w:before="60"/>
    </w:pPr>
  </w:style>
  <w:style w:type="paragraph" w:customStyle="1" w:styleId="xHdrLogo">
    <w:name w:val="x_HdrLogo"/>
    <w:basedOn w:val="Normal"/>
    <w:pPr>
      <w:spacing w:before="120"/>
    </w:pPr>
  </w:style>
  <w:style w:type="paragraph" w:customStyle="1" w:styleId="xHdrServiceName">
    <w:name w:val="x_HdrServiceName"/>
    <w:basedOn w:val="Normal"/>
    <w:pPr>
      <w:spacing w:before="120"/>
      <w:ind w:left="216"/>
      <w:jc w:val="right"/>
    </w:pPr>
    <w:rPr>
      <w:b/>
      <w:sz w:val="28"/>
    </w:rPr>
  </w:style>
  <w:style w:type="paragraph" w:customStyle="1" w:styleId="date">
    <w:name w:val="date"/>
    <w:basedOn w:val="Heading3"/>
    <w:pPr>
      <w:keepNext w:val="0"/>
      <w:spacing w:before="40" w:after="20"/>
      <w:ind w:right="57"/>
      <w:jc w:val="right"/>
      <w:outlineLvl w:val="9"/>
    </w:pPr>
    <w:rPr>
      <w:b/>
      <w:i/>
      <w:sz w:val="18"/>
    </w:rPr>
  </w:style>
  <w:style w:type="paragraph" w:customStyle="1" w:styleId="Subtitle">
    <w:name w:val="_Subtitle"/>
    <w:basedOn w:val="Normal"/>
    <w:next w:val="Normal"/>
    <w:pPr>
      <w:jc w:val="center"/>
    </w:pPr>
    <w:rPr>
      <w:b/>
      <w:sz w:val="22"/>
    </w:rPr>
  </w:style>
  <w:style w:type="paragraph" w:customStyle="1" w:styleId="HeadingJustified">
    <w:name w:val="_HeadingJustified"/>
    <w:basedOn w:val="Normal"/>
    <w:next w:val="Normal"/>
    <w:rPr>
      <w:b/>
    </w:rPr>
  </w:style>
  <w:style w:type="paragraph" w:styleId="BodyText2">
    <w:name w:val="Body Text 2"/>
    <w:basedOn w:val="Normal"/>
    <w:pPr>
      <w:widowControl w:val="0"/>
      <w:ind w:right="842"/>
    </w:pPr>
    <w:rPr>
      <w:rFonts w:ascii="Bookman Old Style" w:hAnsi="Bookman Old Style"/>
    </w:rPr>
  </w:style>
  <w:style w:type="paragraph" w:customStyle="1" w:styleId="TextJustified">
    <w:name w:val="_TextJustified"/>
    <w:basedOn w:val="Normal"/>
    <w:pPr>
      <w:ind w:right="1080"/>
    </w:pPr>
  </w:style>
  <w:style w:type="paragraph" w:customStyle="1" w:styleId="Title">
    <w:name w:val="_Title"/>
    <w:basedOn w:val="Heading1"/>
    <w:pPr>
      <w:spacing w:before="60" w:after="360"/>
      <w:jc w:val="center"/>
      <w:outlineLvl w:val="9"/>
    </w:pPr>
  </w:style>
  <w:style w:type="paragraph" w:styleId="BodyText">
    <w:name w:val="Body Text"/>
    <w:basedOn w:val="Normal"/>
    <w:pPr>
      <w:widowControl w:val="0"/>
      <w:spacing w:after="120" w:line="360" w:lineRule="auto"/>
      <w:jc w:val="left"/>
    </w:pPr>
    <w:rPr>
      <w:snapToGrid w:val="0"/>
      <w:sz w:val="22"/>
    </w:rPr>
  </w:style>
  <w:style w:type="character" w:styleId="Hyperlink">
    <w:name w:val="Hyperlink"/>
    <w:basedOn w:val="DefaultParagraphFont"/>
    <w:rPr>
      <w:color w:val="0000FF"/>
      <w:u w:val="single"/>
    </w:rPr>
  </w:style>
  <w:style w:type="paragraph" w:styleId="Title0">
    <w:name w:val="Title"/>
    <w:basedOn w:val="Normal"/>
    <w:qFormat/>
    <w:pPr>
      <w:jc w:val="center"/>
    </w:pPr>
    <w:rPr>
      <w:rFonts w:ascii="Times New Roman" w:hAnsi="Times New Roman"/>
      <w:b/>
      <w:sz w:val="28"/>
    </w:rPr>
  </w:style>
  <w:style w:type="paragraph" w:styleId="BodyText3">
    <w:name w:val="Body Text 3"/>
    <w:basedOn w:val="Normal"/>
    <w:pPr>
      <w:autoSpaceDE w:val="0"/>
      <w:autoSpaceDN w:val="0"/>
      <w:adjustRightInd w:val="0"/>
      <w:ind w:right="-120"/>
      <w:jc w:val="left"/>
    </w:pPr>
    <w:rPr>
      <w:rFonts w:ascii="Times New Roman" w:hAnsi="Times New Roman"/>
      <w:sz w:val="24"/>
    </w:rPr>
  </w:style>
  <w:style w:type="paragraph" w:customStyle="1" w:styleId="contact">
    <w:name w:val="contact"/>
    <w:basedOn w:val="Normal"/>
    <w:pPr>
      <w:widowControl w:val="0"/>
      <w:tabs>
        <w:tab w:val="right" w:pos="9180"/>
      </w:tabs>
      <w:jc w:val="left"/>
    </w:pPr>
    <w:rPr>
      <w:rFonts w:ascii="Palatino" w:hAnsi="Palatino"/>
      <w:sz w:val="22"/>
    </w:rPr>
  </w:style>
  <w:style w:type="character" w:styleId="FollowedHyperlink">
    <w:name w:val="FollowedHyperlink"/>
    <w:basedOn w:val="DefaultParagraphFont"/>
    <w:rPr>
      <w:color w:val="800080"/>
      <w:u w:val="single"/>
    </w:rPr>
  </w:style>
  <w:style w:type="paragraph" w:customStyle="1" w:styleId="bullet1">
    <w:name w:val="bullet 1"/>
    <w:basedOn w:val="Normal"/>
    <w:pPr>
      <w:tabs>
        <w:tab w:val="left" w:pos="2625"/>
      </w:tabs>
      <w:spacing w:after="120" w:line="200" w:lineRule="atLeast"/>
      <w:jc w:val="left"/>
    </w:pPr>
    <w:rPr>
      <w:rFonts w:ascii="Palatino" w:hAnsi="Palatino"/>
      <w:sz w:val="22"/>
    </w:rPr>
  </w:style>
  <w:style w:type="paragraph" w:customStyle="1" w:styleId="cellheadingR">
    <w:name w:val="cellheadingR"/>
    <w:basedOn w:val="Normal"/>
    <w:pPr>
      <w:keepNext/>
      <w:spacing w:before="60" w:line="200" w:lineRule="atLeast"/>
      <w:jc w:val="right"/>
    </w:pPr>
    <w:rPr>
      <w:rFonts w:ascii="Palatino" w:hAnsi="Palatino"/>
      <w:b/>
      <w:sz w:val="16"/>
    </w:rPr>
  </w:style>
  <w:style w:type="paragraph" w:styleId="BalloonText">
    <w:name w:val="Balloon Text"/>
    <w:basedOn w:val="Normal"/>
    <w:semiHidden/>
    <w:rsid w:val="009602E1"/>
    <w:rPr>
      <w:rFonts w:ascii="Tahoma" w:hAnsi="Tahoma" w:cs="Tahoma"/>
      <w:sz w:val="16"/>
      <w:szCs w:val="16"/>
    </w:rPr>
  </w:style>
  <w:style w:type="character" w:customStyle="1" w:styleId="Gartner">
    <w:name w:val="EmailStyle37"/>
    <w:aliases w:val="EmailStyle37"/>
    <w:basedOn w:val="DefaultParagraphFont"/>
    <w:semiHidden/>
    <w:personal/>
    <w:personalReply/>
    <w:rsid w:val="008071DA"/>
    <w:rPr>
      <w:rFonts w:ascii="Arial" w:hAnsi="Arial" w:cs="Arial"/>
      <w:color w:val="000080"/>
      <w:sz w:val="20"/>
      <w:szCs w:val="20"/>
    </w:rPr>
  </w:style>
  <w:style w:type="character" w:styleId="CommentReference">
    <w:name w:val="annotation reference"/>
    <w:basedOn w:val="DefaultParagraphFont"/>
    <w:semiHidden/>
    <w:rsid w:val="00A2107F"/>
    <w:rPr>
      <w:sz w:val="16"/>
      <w:szCs w:val="16"/>
    </w:rPr>
  </w:style>
  <w:style w:type="paragraph" w:styleId="ListBullet">
    <w:name w:val="List Bullet"/>
    <w:basedOn w:val="Normal"/>
    <w:rsid w:val="00A2107F"/>
    <w:pPr>
      <w:numPr>
        <w:numId w:val="6"/>
      </w:numPr>
      <w:spacing w:before="160"/>
      <w:jc w:val="left"/>
    </w:pPr>
  </w:style>
  <w:style w:type="paragraph" w:customStyle="1" w:styleId="Default">
    <w:name w:val="Default"/>
    <w:rsid w:val="007D5CCD"/>
    <w:rPr>
      <w:rFonts w:ascii="Helvetica Neue" w:hAnsi="Helvetica Neue"/>
      <w:snapToGrid w:val="0"/>
      <w:color w:val="000000"/>
      <w:sz w:val="24"/>
      <w:lang w:val="en-US" w:eastAsia="en-US"/>
    </w:rPr>
  </w:style>
  <w:style w:type="paragraph" w:styleId="CommentText">
    <w:name w:val="annotation text"/>
    <w:basedOn w:val="Normal"/>
    <w:semiHidden/>
    <w:rsid w:val="00B63F7E"/>
  </w:style>
  <w:style w:type="paragraph" w:styleId="CommentSubject">
    <w:name w:val="annotation subject"/>
    <w:basedOn w:val="CommentText"/>
    <w:next w:val="CommentText"/>
    <w:semiHidden/>
    <w:rsid w:val="00B63F7E"/>
    <w:rPr>
      <w:b/>
      <w:bCs/>
    </w:rPr>
  </w:style>
  <w:style w:type="paragraph" w:customStyle="1" w:styleId="section1">
    <w:name w:val="section1"/>
    <w:basedOn w:val="Normal"/>
    <w:uiPriority w:val="99"/>
    <w:rsid w:val="000B114C"/>
    <w:pPr>
      <w:spacing w:before="100" w:beforeAutospacing="1" w:after="100" w:afterAutospacing="1"/>
      <w:jc w:val="left"/>
    </w:pPr>
    <w:rPr>
      <w:rFonts w:ascii="Times New Roman" w:hAnsi="Times New Roman"/>
      <w:sz w:val="24"/>
      <w:szCs w:val="24"/>
      <w:lang w:eastAsia="ja-JP"/>
    </w:rPr>
  </w:style>
  <w:style w:type="paragraph" w:styleId="NormalWeb">
    <w:name w:val="Normal (Web)"/>
    <w:basedOn w:val="Normal"/>
    <w:uiPriority w:val="99"/>
    <w:rsid w:val="003C2895"/>
    <w:pPr>
      <w:spacing w:before="100" w:beforeAutospacing="1" w:after="100" w:afterAutospacing="1"/>
      <w:jc w:val="left"/>
    </w:pPr>
    <w:rPr>
      <w:rFonts w:ascii="Times New Roman" w:hAnsi="Times New Roman"/>
      <w:sz w:val="24"/>
      <w:szCs w:val="24"/>
    </w:rPr>
  </w:style>
  <w:style w:type="paragraph" w:customStyle="1" w:styleId="CellBodyL">
    <w:name w:val="CellBodyL"/>
    <w:basedOn w:val="Normal"/>
    <w:rsid w:val="007E7BED"/>
    <w:pPr>
      <w:spacing w:after="60"/>
      <w:jc w:val="left"/>
    </w:pPr>
    <w:rPr>
      <w:sz w:val="18"/>
    </w:rPr>
  </w:style>
  <w:style w:type="paragraph" w:customStyle="1" w:styleId="CellBodyR">
    <w:name w:val="CellBodyR"/>
    <w:basedOn w:val="CellBodyL"/>
    <w:rsid w:val="001550C2"/>
    <w:pPr>
      <w:jc w:val="right"/>
    </w:pPr>
  </w:style>
</w:styles>
</file>

<file path=word/webSettings.xml><?xml version="1.0" encoding="utf-8"?>
<w:webSettings xmlns:r="http://schemas.openxmlformats.org/officeDocument/2006/relationships" xmlns:w="http://schemas.openxmlformats.org/wordprocessingml/2006/main">
  <w:divs>
    <w:div w:id="6910670">
      <w:bodyDiv w:val="1"/>
      <w:marLeft w:val="0"/>
      <w:marRight w:val="0"/>
      <w:marTop w:val="0"/>
      <w:marBottom w:val="0"/>
      <w:divBdr>
        <w:top w:val="none" w:sz="0" w:space="0" w:color="auto"/>
        <w:left w:val="none" w:sz="0" w:space="0" w:color="auto"/>
        <w:bottom w:val="none" w:sz="0" w:space="0" w:color="auto"/>
        <w:right w:val="none" w:sz="0" w:space="0" w:color="auto"/>
      </w:divBdr>
    </w:div>
    <w:div w:id="115681549">
      <w:bodyDiv w:val="1"/>
      <w:marLeft w:val="0"/>
      <w:marRight w:val="0"/>
      <w:marTop w:val="0"/>
      <w:marBottom w:val="0"/>
      <w:divBdr>
        <w:top w:val="none" w:sz="0" w:space="0" w:color="auto"/>
        <w:left w:val="none" w:sz="0" w:space="0" w:color="auto"/>
        <w:bottom w:val="none" w:sz="0" w:space="0" w:color="auto"/>
        <w:right w:val="none" w:sz="0" w:space="0" w:color="auto"/>
      </w:divBdr>
    </w:div>
    <w:div w:id="126092139">
      <w:bodyDiv w:val="1"/>
      <w:marLeft w:val="0"/>
      <w:marRight w:val="0"/>
      <w:marTop w:val="0"/>
      <w:marBottom w:val="0"/>
      <w:divBdr>
        <w:top w:val="none" w:sz="0" w:space="0" w:color="auto"/>
        <w:left w:val="none" w:sz="0" w:space="0" w:color="auto"/>
        <w:bottom w:val="none" w:sz="0" w:space="0" w:color="auto"/>
        <w:right w:val="none" w:sz="0" w:space="0" w:color="auto"/>
      </w:divBdr>
    </w:div>
    <w:div w:id="182324233">
      <w:bodyDiv w:val="1"/>
      <w:marLeft w:val="0"/>
      <w:marRight w:val="0"/>
      <w:marTop w:val="0"/>
      <w:marBottom w:val="0"/>
      <w:divBdr>
        <w:top w:val="none" w:sz="0" w:space="0" w:color="auto"/>
        <w:left w:val="none" w:sz="0" w:space="0" w:color="auto"/>
        <w:bottom w:val="none" w:sz="0" w:space="0" w:color="auto"/>
        <w:right w:val="none" w:sz="0" w:space="0" w:color="auto"/>
      </w:divBdr>
    </w:div>
    <w:div w:id="252011784">
      <w:bodyDiv w:val="1"/>
      <w:marLeft w:val="0"/>
      <w:marRight w:val="0"/>
      <w:marTop w:val="0"/>
      <w:marBottom w:val="0"/>
      <w:divBdr>
        <w:top w:val="none" w:sz="0" w:space="0" w:color="auto"/>
        <w:left w:val="none" w:sz="0" w:space="0" w:color="auto"/>
        <w:bottom w:val="none" w:sz="0" w:space="0" w:color="auto"/>
        <w:right w:val="none" w:sz="0" w:space="0" w:color="auto"/>
      </w:divBdr>
    </w:div>
    <w:div w:id="352414064">
      <w:bodyDiv w:val="1"/>
      <w:marLeft w:val="0"/>
      <w:marRight w:val="0"/>
      <w:marTop w:val="0"/>
      <w:marBottom w:val="0"/>
      <w:divBdr>
        <w:top w:val="none" w:sz="0" w:space="0" w:color="auto"/>
        <w:left w:val="none" w:sz="0" w:space="0" w:color="auto"/>
        <w:bottom w:val="none" w:sz="0" w:space="0" w:color="auto"/>
        <w:right w:val="none" w:sz="0" w:space="0" w:color="auto"/>
      </w:divBdr>
    </w:div>
    <w:div w:id="405147422">
      <w:bodyDiv w:val="1"/>
      <w:marLeft w:val="0"/>
      <w:marRight w:val="0"/>
      <w:marTop w:val="0"/>
      <w:marBottom w:val="0"/>
      <w:divBdr>
        <w:top w:val="none" w:sz="0" w:space="0" w:color="auto"/>
        <w:left w:val="none" w:sz="0" w:space="0" w:color="auto"/>
        <w:bottom w:val="none" w:sz="0" w:space="0" w:color="auto"/>
        <w:right w:val="none" w:sz="0" w:space="0" w:color="auto"/>
      </w:divBdr>
    </w:div>
    <w:div w:id="458912680">
      <w:bodyDiv w:val="1"/>
      <w:marLeft w:val="0"/>
      <w:marRight w:val="0"/>
      <w:marTop w:val="0"/>
      <w:marBottom w:val="0"/>
      <w:divBdr>
        <w:top w:val="none" w:sz="0" w:space="0" w:color="auto"/>
        <w:left w:val="none" w:sz="0" w:space="0" w:color="auto"/>
        <w:bottom w:val="none" w:sz="0" w:space="0" w:color="auto"/>
        <w:right w:val="none" w:sz="0" w:space="0" w:color="auto"/>
      </w:divBdr>
    </w:div>
    <w:div w:id="474958854">
      <w:bodyDiv w:val="1"/>
      <w:marLeft w:val="0"/>
      <w:marRight w:val="0"/>
      <w:marTop w:val="0"/>
      <w:marBottom w:val="0"/>
      <w:divBdr>
        <w:top w:val="none" w:sz="0" w:space="0" w:color="auto"/>
        <w:left w:val="none" w:sz="0" w:space="0" w:color="auto"/>
        <w:bottom w:val="none" w:sz="0" w:space="0" w:color="auto"/>
        <w:right w:val="none" w:sz="0" w:space="0" w:color="auto"/>
      </w:divBdr>
    </w:div>
    <w:div w:id="501169102">
      <w:bodyDiv w:val="1"/>
      <w:marLeft w:val="0"/>
      <w:marRight w:val="0"/>
      <w:marTop w:val="0"/>
      <w:marBottom w:val="0"/>
      <w:divBdr>
        <w:top w:val="none" w:sz="0" w:space="0" w:color="auto"/>
        <w:left w:val="none" w:sz="0" w:space="0" w:color="auto"/>
        <w:bottom w:val="none" w:sz="0" w:space="0" w:color="auto"/>
        <w:right w:val="none" w:sz="0" w:space="0" w:color="auto"/>
      </w:divBdr>
    </w:div>
    <w:div w:id="658920059">
      <w:bodyDiv w:val="1"/>
      <w:marLeft w:val="0"/>
      <w:marRight w:val="0"/>
      <w:marTop w:val="0"/>
      <w:marBottom w:val="0"/>
      <w:divBdr>
        <w:top w:val="none" w:sz="0" w:space="0" w:color="auto"/>
        <w:left w:val="none" w:sz="0" w:space="0" w:color="auto"/>
        <w:bottom w:val="none" w:sz="0" w:space="0" w:color="auto"/>
        <w:right w:val="none" w:sz="0" w:space="0" w:color="auto"/>
      </w:divBdr>
    </w:div>
    <w:div w:id="738137723">
      <w:bodyDiv w:val="1"/>
      <w:marLeft w:val="0"/>
      <w:marRight w:val="0"/>
      <w:marTop w:val="0"/>
      <w:marBottom w:val="0"/>
      <w:divBdr>
        <w:top w:val="none" w:sz="0" w:space="0" w:color="auto"/>
        <w:left w:val="none" w:sz="0" w:space="0" w:color="auto"/>
        <w:bottom w:val="none" w:sz="0" w:space="0" w:color="auto"/>
        <w:right w:val="none" w:sz="0" w:space="0" w:color="auto"/>
      </w:divBdr>
    </w:div>
    <w:div w:id="752971479">
      <w:bodyDiv w:val="1"/>
      <w:marLeft w:val="0"/>
      <w:marRight w:val="0"/>
      <w:marTop w:val="0"/>
      <w:marBottom w:val="0"/>
      <w:divBdr>
        <w:top w:val="none" w:sz="0" w:space="0" w:color="auto"/>
        <w:left w:val="none" w:sz="0" w:space="0" w:color="auto"/>
        <w:bottom w:val="none" w:sz="0" w:space="0" w:color="auto"/>
        <w:right w:val="none" w:sz="0" w:space="0" w:color="auto"/>
      </w:divBdr>
    </w:div>
    <w:div w:id="758060918">
      <w:bodyDiv w:val="1"/>
      <w:marLeft w:val="0"/>
      <w:marRight w:val="0"/>
      <w:marTop w:val="0"/>
      <w:marBottom w:val="0"/>
      <w:divBdr>
        <w:top w:val="none" w:sz="0" w:space="0" w:color="auto"/>
        <w:left w:val="none" w:sz="0" w:space="0" w:color="auto"/>
        <w:bottom w:val="none" w:sz="0" w:space="0" w:color="auto"/>
        <w:right w:val="none" w:sz="0" w:space="0" w:color="auto"/>
      </w:divBdr>
    </w:div>
    <w:div w:id="773672648">
      <w:bodyDiv w:val="1"/>
      <w:marLeft w:val="0"/>
      <w:marRight w:val="0"/>
      <w:marTop w:val="0"/>
      <w:marBottom w:val="0"/>
      <w:divBdr>
        <w:top w:val="none" w:sz="0" w:space="0" w:color="auto"/>
        <w:left w:val="none" w:sz="0" w:space="0" w:color="auto"/>
        <w:bottom w:val="none" w:sz="0" w:space="0" w:color="auto"/>
        <w:right w:val="none" w:sz="0" w:space="0" w:color="auto"/>
      </w:divBdr>
    </w:div>
    <w:div w:id="806776914">
      <w:bodyDiv w:val="1"/>
      <w:marLeft w:val="0"/>
      <w:marRight w:val="0"/>
      <w:marTop w:val="0"/>
      <w:marBottom w:val="0"/>
      <w:divBdr>
        <w:top w:val="none" w:sz="0" w:space="0" w:color="auto"/>
        <w:left w:val="none" w:sz="0" w:space="0" w:color="auto"/>
        <w:bottom w:val="none" w:sz="0" w:space="0" w:color="auto"/>
        <w:right w:val="none" w:sz="0" w:space="0" w:color="auto"/>
      </w:divBdr>
    </w:div>
    <w:div w:id="807480097">
      <w:bodyDiv w:val="1"/>
      <w:marLeft w:val="0"/>
      <w:marRight w:val="0"/>
      <w:marTop w:val="0"/>
      <w:marBottom w:val="0"/>
      <w:divBdr>
        <w:top w:val="none" w:sz="0" w:space="0" w:color="auto"/>
        <w:left w:val="none" w:sz="0" w:space="0" w:color="auto"/>
        <w:bottom w:val="none" w:sz="0" w:space="0" w:color="auto"/>
        <w:right w:val="none" w:sz="0" w:space="0" w:color="auto"/>
      </w:divBdr>
    </w:div>
    <w:div w:id="876166026">
      <w:bodyDiv w:val="1"/>
      <w:marLeft w:val="0"/>
      <w:marRight w:val="0"/>
      <w:marTop w:val="0"/>
      <w:marBottom w:val="0"/>
      <w:divBdr>
        <w:top w:val="none" w:sz="0" w:space="0" w:color="auto"/>
        <w:left w:val="none" w:sz="0" w:space="0" w:color="auto"/>
        <w:bottom w:val="none" w:sz="0" w:space="0" w:color="auto"/>
        <w:right w:val="none" w:sz="0" w:space="0" w:color="auto"/>
      </w:divBdr>
    </w:div>
    <w:div w:id="900991614">
      <w:bodyDiv w:val="1"/>
      <w:marLeft w:val="0"/>
      <w:marRight w:val="0"/>
      <w:marTop w:val="0"/>
      <w:marBottom w:val="0"/>
      <w:divBdr>
        <w:top w:val="none" w:sz="0" w:space="0" w:color="auto"/>
        <w:left w:val="none" w:sz="0" w:space="0" w:color="auto"/>
        <w:bottom w:val="none" w:sz="0" w:space="0" w:color="auto"/>
        <w:right w:val="none" w:sz="0" w:space="0" w:color="auto"/>
      </w:divBdr>
    </w:div>
    <w:div w:id="911622229">
      <w:bodyDiv w:val="1"/>
      <w:marLeft w:val="0"/>
      <w:marRight w:val="0"/>
      <w:marTop w:val="0"/>
      <w:marBottom w:val="0"/>
      <w:divBdr>
        <w:top w:val="none" w:sz="0" w:space="0" w:color="auto"/>
        <w:left w:val="none" w:sz="0" w:space="0" w:color="auto"/>
        <w:bottom w:val="none" w:sz="0" w:space="0" w:color="auto"/>
        <w:right w:val="none" w:sz="0" w:space="0" w:color="auto"/>
      </w:divBdr>
    </w:div>
    <w:div w:id="1000889419">
      <w:bodyDiv w:val="1"/>
      <w:marLeft w:val="0"/>
      <w:marRight w:val="0"/>
      <w:marTop w:val="0"/>
      <w:marBottom w:val="0"/>
      <w:divBdr>
        <w:top w:val="none" w:sz="0" w:space="0" w:color="auto"/>
        <w:left w:val="none" w:sz="0" w:space="0" w:color="auto"/>
        <w:bottom w:val="none" w:sz="0" w:space="0" w:color="auto"/>
        <w:right w:val="none" w:sz="0" w:space="0" w:color="auto"/>
      </w:divBdr>
    </w:div>
    <w:div w:id="1008211665">
      <w:bodyDiv w:val="1"/>
      <w:marLeft w:val="0"/>
      <w:marRight w:val="0"/>
      <w:marTop w:val="0"/>
      <w:marBottom w:val="0"/>
      <w:divBdr>
        <w:top w:val="none" w:sz="0" w:space="0" w:color="auto"/>
        <w:left w:val="none" w:sz="0" w:space="0" w:color="auto"/>
        <w:bottom w:val="none" w:sz="0" w:space="0" w:color="auto"/>
        <w:right w:val="none" w:sz="0" w:space="0" w:color="auto"/>
      </w:divBdr>
    </w:div>
    <w:div w:id="1098253473">
      <w:bodyDiv w:val="1"/>
      <w:marLeft w:val="0"/>
      <w:marRight w:val="0"/>
      <w:marTop w:val="0"/>
      <w:marBottom w:val="0"/>
      <w:divBdr>
        <w:top w:val="none" w:sz="0" w:space="0" w:color="auto"/>
        <w:left w:val="none" w:sz="0" w:space="0" w:color="auto"/>
        <w:bottom w:val="none" w:sz="0" w:space="0" w:color="auto"/>
        <w:right w:val="none" w:sz="0" w:space="0" w:color="auto"/>
      </w:divBdr>
    </w:div>
    <w:div w:id="1187215658">
      <w:bodyDiv w:val="1"/>
      <w:marLeft w:val="0"/>
      <w:marRight w:val="0"/>
      <w:marTop w:val="0"/>
      <w:marBottom w:val="0"/>
      <w:divBdr>
        <w:top w:val="none" w:sz="0" w:space="0" w:color="auto"/>
        <w:left w:val="none" w:sz="0" w:space="0" w:color="auto"/>
        <w:bottom w:val="none" w:sz="0" w:space="0" w:color="auto"/>
        <w:right w:val="none" w:sz="0" w:space="0" w:color="auto"/>
      </w:divBdr>
    </w:div>
    <w:div w:id="1204908908">
      <w:bodyDiv w:val="1"/>
      <w:marLeft w:val="0"/>
      <w:marRight w:val="0"/>
      <w:marTop w:val="0"/>
      <w:marBottom w:val="0"/>
      <w:divBdr>
        <w:top w:val="none" w:sz="0" w:space="0" w:color="auto"/>
        <w:left w:val="none" w:sz="0" w:space="0" w:color="auto"/>
        <w:bottom w:val="none" w:sz="0" w:space="0" w:color="auto"/>
        <w:right w:val="none" w:sz="0" w:space="0" w:color="auto"/>
      </w:divBdr>
    </w:div>
    <w:div w:id="1331717595">
      <w:bodyDiv w:val="1"/>
      <w:marLeft w:val="0"/>
      <w:marRight w:val="0"/>
      <w:marTop w:val="0"/>
      <w:marBottom w:val="0"/>
      <w:divBdr>
        <w:top w:val="none" w:sz="0" w:space="0" w:color="auto"/>
        <w:left w:val="none" w:sz="0" w:space="0" w:color="auto"/>
        <w:bottom w:val="none" w:sz="0" w:space="0" w:color="auto"/>
        <w:right w:val="none" w:sz="0" w:space="0" w:color="auto"/>
      </w:divBdr>
    </w:div>
    <w:div w:id="1359741433">
      <w:bodyDiv w:val="1"/>
      <w:marLeft w:val="0"/>
      <w:marRight w:val="0"/>
      <w:marTop w:val="0"/>
      <w:marBottom w:val="0"/>
      <w:divBdr>
        <w:top w:val="none" w:sz="0" w:space="0" w:color="auto"/>
        <w:left w:val="none" w:sz="0" w:space="0" w:color="auto"/>
        <w:bottom w:val="none" w:sz="0" w:space="0" w:color="auto"/>
        <w:right w:val="none" w:sz="0" w:space="0" w:color="auto"/>
      </w:divBdr>
    </w:div>
    <w:div w:id="1527210363">
      <w:bodyDiv w:val="1"/>
      <w:marLeft w:val="0"/>
      <w:marRight w:val="0"/>
      <w:marTop w:val="0"/>
      <w:marBottom w:val="0"/>
      <w:divBdr>
        <w:top w:val="none" w:sz="0" w:space="0" w:color="auto"/>
        <w:left w:val="none" w:sz="0" w:space="0" w:color="auto"/>
        <w:bottom w:val="none" w:sz="0" w:space="0" w:color="auto"/>
        <w:right w:val="none" w:sz="0" w:space="0" w:color="auto"/>
      </w:divBdr>
    </w:div>
    <w:div w:id="1581330346">
      <w:bodyDiv w:val="1"/>
      <w:marLeft w:val="0"/>
      <w:marRight w:val="0"/>
      <w:marTop w:val="0"/>
      <w:marBottom w:val="0"/>
      <w:divBdr>
        <w:top w:val="none" w:sz="0" w:space="0" w:color="auto"/>
        <w:left w:val="none" w:sz="0" w:space="0" w:color="auto"/>
        <w:bottom w:val="none" w:sz="0" w:space="0" w:color="auto"/>
        <w:right w:val="none" w:sz="0" w:space="0" w:color="auto"/>
      </w:divBdr>
    </w:div>
    <w:div w:id="1615942508">
      <w:bodyDiv w:val="1"/>
      <w:marLeft w:val="0"/>
      <w:marRight w:val="0"/>
      <w:marTop w:val="0"/>
      <w:marBottom w:val="0"/>
      <w:divBdr>
        <w:top w:val="none" w:sz="0" w:space="0" w:color="auto"/>
        <w:left w:val="none" w:sz="0" w:space="0" w:color="auto"/>
        <w:bottom w:val="none" w:sz="0" w:space="0" w:color="auto"/>
        <w:right w:val="none" w:sz="0" w:space="0" w:color="auto"/>
      </w:divBdr>
    </w:div>
    <w:div w:id="1654210767">
      <w:bodyDiv w:val="1"/>
      <w:marLeft w:val="0"/>
      <w:marRight w:val="0"/>
      <w:marTop w:val="0"/>
      <w:marBottom w:val="0"/>
      <w:divBdr>
        <w:top w:val="none" w:sz="0" w:space="0" w:color="auto"/>
        <w:left w:val="none" w:sz="0" w:space="0" w:color="auto"/>
        <w:bottom w:val="none" w:sz="0" w:space="0" w:color="auto"/>
        <w:right w:val="none" w:sz="0" w:space="0" w:color="auto"/>
      </w:divBdr>
    </w:div>
    <w:div w:id="1701661004">
      <w:bodyDiv w:val="1"/>
      <w:marLeft w:val="0"/>
      <w:marRight w:val="0"/>
      <w:marTop w:val="0"/>
      <w:marBottom w:val="0"/>
      <w:divBdr>
        <w:top w:val="none" w:sz="0" w:space="0" w:color="auto"/>
        <w:left w:val="none" w:sz="0" w:space="0" w:color="auto"/>
        <w:bottom w:val="none" w:sz="0" w:space="0" w:color="auto"/>
        <w:right w:val="none" w:sz="0" w:space="0" w:color="auto"/>
      </w:divBdr>
    </w:div>
    <w:div w:id="1819683217">
      <w:bodyDiv w:val="1"/>
      <w:marLeft w:val="0"/>
      <w:marRight w:val="0"/>
      <w:marTop w:val="0"/>
      <w:marBottom w:val="0"/>
      <w:divBdr>
        <w:top w:val="none" w:sz="0" w:space="0" w:color="auto"/>
        <w:left w:val="none" w:sz="0" w:space="0" w:color="auto"/>
        <w:bottom w:val="none" w:sz="0" w:space="0" w:color="auto"/>
        <w:right w:val="none" w:sz="0" w:space="0" w:color="auto"/>
      </w:divBdr>
    </w:div>
    <w:div w:id="1850096955">
      <w:bodyDiv w:val="1"/>
      <w:marLeft w:val="0"/>
      <w:marRight w:val="0"/>
      <w:marTop w:val="0"/>
      <w:marBottom w:val="0"/>
      <w:divBdr>
        <w:top w:val="none" w:sz="0" w:space="0" w:color="auto"/>
        <w:left w:val="none" w:sz="0" w:space="0" w:color="auto"/>
        <w:bottom w:val="none" w:sz="0" w:space="0" w:color="auto"/>
        <w:right w:val="none" w:sz="0" w:space="0" w:color="auto"/>
      </w:divBdr>
    </w:div>
    <w:div w:id="1904944216">
      <w:bodyDiv w:val="1"/>
      <w:marLeft w:val="0"/>
      <w:marRight w:val="0"/>
      <w:marTop w:val="0"/>
      <w:marBottom w:val="0"/>
      <w:divBdr>
        <w:top w:val="none" w:sz="0" w:space="0" w:color="auto"/>
        <w:left w:val="none" w:sz="0" w:space="0" w:color="auto"/>
        <w:bottom w:val="none" w:sz="0" w:space="0" w:color="auto"/>
        <w:right w:val="none" w:sz="0" w:space="0" w:color="auto"/>
      </w:divBdr>
    </w:div>
    <w:div w:id="1976449565">
      <w:bodyDiv w:val="1"/>
      <w:marLeft w:val="0"/>
      <w:marRight w:val="0"/>
      <w:marTop w:val="0"/>
      <w:marBottom w:val="0"/>
      <w:divBdr>
        <w:top w:val="none" w:sz="0" w:space="0" w:color="auto"/>
        <w:left w:val="none" w:sz="0" w:space="0" w:color="auto"/>
        <w:bottom w:val="none" w:sz="0" w:space="0" w:color="auto"/>
        <w:right w:val="none" w:sz="0" w:space="0" w:color="auto"/>
      </w:divBdr>
    </w:div>
    <w:div w:id="1988245338">
      <w:bodyDiv w:val="1"/>
      <w:marLeft w:val="0"/>
      <w:marRight w:val="0"/>
      <w:marTop w:val="0"/>
      <w:marBottom w:val="0"/>
      <w:divBdr>
        <w:top w:val="none" w:sz="0" w:space="0" w:color="auto"/>
        <w:left w:val="none" w:sz="0" w:space="0" w:color="auto"/>
        <w:bottom w:val="none" w:sz="0" w:space="0" w:color="auto"/>
        <w:right w:val="none" w:sz="0" w:space="0" w:color="auto"/>
      </w:divBdr>
    </w:div>
    <w:div w:id="2028798311">
      <w:bodyDiv w:val="1"/>
      <w:marLeft w:val="0"/>
      <w:marRight w:val="0"/>
      <w:marTop w:val="0"/>
      <w:marBottom w:val="0"/>
      <w:divBdr>
        <w:top w:val="none" w:sz="0" w:space="0" w:color="auto"/>
        <w:left w:val="none" w:sz="0" w:space="0" w:color="auto"/>
        <w:bottom w:val="none" w:sz="0" w:space="0" w:color="auto"/>
        <w:right w:val="none" w:sz="0" w:space="0" w:color="auto"/>
      </w:divBdr>
    </w:div>
    <w:div w:id="2101021416">
      <w:bodyDiv w:val="1"/>
      <w:marLeft w:val="0"/>
      <w:marRight w:val="0"/>
      <w:marTop w:val="0"/>
      <w:marBottom w:val="0"/>
      <w:divBdr>
        <w:top w:val="none" w:sz="0" w:space="0" w:color="auto"/>
        <w:left w:val="none" w:sz="0" w:space="0" w:color="auto"/>
        <w:bottom w:val="none" w:sz="0" w:space="0" w:color="auto"/>
        <w:right w:val="none" w:sz="0" w:space="0" w:color="auto"/>
      </w:divBdr>
    </w:div>
    <w:div w:id="211388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essa.rivera@gartner.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tner.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artner.com/it/products/research/asset_129157_2395.jsp" TargetMode="External"/><Relationship Id="rId4" Type="http://schemas.openxmlformats.org/officeDocument/2006/relationships/settings" Target="settings.xml"/><Relationship Id="rId9" Type="http://schemas.openxmlformats.org/officeDocument/2006/relationships/hyperlink" Target="mailto:rob.vandermeulen@gartner.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NEW_newtemplate_bi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DFE76-7F48-4BE1-90B1-22B357613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NEW_newtemplate_big</Template>
  <TotalTime>10</TotalTime>
  <Pages>4</Pages>
  <Words>1726</Words>
  <Characters>9843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19990729</vt:lpstr>
    </vt:vector>
  </TitlesOfParts>
  <Company>Gartner</Company>
  <LinksUpToDate>false</LinksUpToDate>
  <CharactersWithSpaces>11546</CharactersWithSpaces>
  <SharedDoc>false</SharedDoc>
  <HLinks>
    <vt:vector size="18" baseType="variant">
      <vt:variant>
        <vt:i4>2883681</vt:i4>
      </vt:variant>
      <vt:variant>
        <vt:i4>6</vt:i4>
      </vt:variant>
      <vt:variant>
        <vt:i4>0</vt:i4>
      </vt:variant>
      <vt:variant>
        <vt:i4>5</vt:i4>
      </vt:variant>
      <vt:variant>
        <vt:lpwstr>http://www.gartner.com/</vt:lpwstr>
      </vt:variant>
      <vt:variant>
        <vt:lpwstr/>
      </vt:variant>
      <vt:variant>
        <vt:i4>7012473</vt:i4>
      </vt:variant>
      <vt:variant>
        <vt:i4>3</vt:i4>
      </vt:variant>
      <vt:variant>
        <vt:i4>0</vt:i4>
      </vt:variant>
      <vt:variant>
        <vt:i4>5</vt:i4>
      </vt:variant>
      <vt:variant>
        <vt:lpwstr>http://www.gartner.com/it/products/research/asset_129157_2395.jsp</vt:lpwstr>
      </vt:variant>
      <vt:variant>
        <vt:lpwstr/>
      </vt:variant>
      <vt:variant>
        <vt:i4>7536660</vt:i4>
      </vt:variant>
      <vt:variant>
        <vt:i4>0</vt:i4>
      </vt:variant>
      <vt:variant>
        <vt:i4>0</vt:i4>
      </vt:variant>
      <vt:variant>
        <vt:i4>5</vt:i4>
      </vt:variant>
      <vt:variant>
        <vt:lpwstr>mailto:janessa.rivera@gartner.com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19990729</dc:title>
  <dc:creator>GartnerGroup</dc:creator>
  <dc:description>GartnerGroup Reports IT Spending to Rise 67 Percent by 2002</dc:description>
  <cp:lastModifiedBy>rvanderm</cp:lastModifiedBy>
  <cp:revision>5</cp:revision>
  <cp:lastPrinted>2012-04-11T10:36:00Z</cp:lastPrinted>
  <dcterms:created xsi:type="dcterms:W3CDTF">2014-01-10T07:56:00Z</dcterms:created>
  <dcterms:modified xsi:type="dcterms:W3CDTF">2014-01-10T08:06:00Z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No">
    <vt:lpwstr>19990729</vt:lpwstr>
  </property>
  <property fmtid="{D5CDD505-2E9C-101B-9397-08002B2CF9AE}" pid="3" name="PubCode">
    <vt:lpwstr> </vt:lpwstr>
  </property>
  <property fmtid="{D5CDD505-2E9C-101B-9397-08002B2CF9AE}" pid="4" name="PubDate">
    <vt:lpwstr>07/29/1999</vt:lpwstr>
  </property>
  <property fmtid="{D5CDD505-2E9C-101B-9397-08002B2CF9AE}" pid="5" name="Service">
    <vt:lpwstr>Collateral</vt:lpwstr>
  </property>
  <property fmtid="{D5CDD505-2E9C-101B-9397-08002B2CF9AE}" pid="6" name="BusUnit">
    <vt:lpwstr>GartnerGroup</vt:lpwstr>
  </property>
  <property fmtid="{D5CDD505-2E9C-101B-9397-08002B2CF9AE}" pid="7" name="DocCode">
    <vt:lpwstr> </vt:lpwstr>
  </property>
  <property fmtid="{D5CDD505-2E9C-101B-9397-08002B2CF9AE}" pid="8" name="DocTypeDesc">
    <vt:lpwstr>Collateral</vt:lpwstr>
  </property>
  <property fmtid="{D5CDD505-2E9C-101B-9397-08002B2CF9AE}" pid="9" name="Editor">
    <vt:lpwstr/>
  </property>
  <property fmtid="{D5CDD505-2E9C-101B-9397-08002B2CF9AE}" pid="10" name="ExpirationDate">
    <vt:lpwstr>01/29/2000</vt:lpwstr>
  </property>
  <property fmtid="{D5CDD505-2E9C-101B-9397-08002B2CF9AE}" pid="11" name="SubTypeAbbrev">
    <vt:lpwstr>PR</vt:lpwstr>
  </property>
  <property fmtid="{D5CDD505-2E9C-101B-9397-08002B2CF9AE}" pid="12" name="SubTypeDesc">
    <vt:lpwstr>Press Release</vt:lpwstr>
  </property>
  <property fmtid="{D5CDD505-2E9C-101B-9397-08002B2CF9AE}" pid="13" name="DocTypeAbbrev">
    <vt:lpwstr>COL</vt:lpwstr>
  </property>
  <property fmtid="{D5CDD505-2E9C-101B-9397-08002B2CF9AE}" pid="14" name="Language">
    <vt:lpwstr>ENGLISH</vt:lpwstr>
  </property>
  <property fmtid="{D5CDD505-2E9C-101B-9397-08002B2CF9AE}" pid="15" name="Company">
    <vt:lpwstr> </vt:lpwstr>
  </property>
  <property fmtid="{D5CDD505-2E9C-101B-9397-08002B2CF9AE}" pid="16" name="ContentType">
    <vt:lpwstr>Marketing</vt:lpwstr>
  </property>
  <property fmtid="{D5CDD505-2E9C-101B-9397-08002B2CF9AE}" pid="17" name="Deliverable">
    <vt:lpwstr> </vt:lpwstr>
  </property>
  <property fmtid="{D5CDD505-2E9C-101B-9397-08002B2CF9AE}" pid="18" name="DocClass">
    <vt:lpwstr> </vt:lpwstr>
  </property>
  <property fmtid="{D5CDD505-2E9C-101B-9397-08002B2CF9AE}" pid="19" name="DocSubType2">
    <vt:lpwstr> </vt:lpwstr>
  </property>
  <property fmtid="{D5CDD505-2E9C-101B-9397-08002B2CF9AE}" pid="20" name="DocAuthor">
    <vt:lpwstr>Allison Haines</vt:lpwstr>
  </property>
  <property fmtid="{D5CDD505-2E9C-101B-9397-08002B2CF9AE}" pid="21" name="source">
    <vt:lpwstr>gg</vt:lpwstr>
  </property>
</Properties>
</file>