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63" w:rsidRPr="00B61888" w:rsidRDefault="002B5E63" w:rsidP="002B5E63">
      <w:pPr>
        <w:pStyle w:val="contact"/>
        <w:widowControl/>
        <w:rPr>
          <w:rFonts w:ascii="Arial" w:hAnsi="Arial"/>
          <w:smallCaps/>
        </w:rPr>
      </w:pPr>
      <w:r w:rsidRPr="00B61888">
        <w:rPr>
          <w:rFonts w:ascii="Arial" w:hAnsi="Arial"/>
          <w:smallCaps/>
        </w:rPr>
        <w:t>FOR IMMEDIATE RELEASE</w:t>
      </w:r>
    </w:p>
    <w:p w:rsidR="002B5E63" w:rsidRPr="00B61888" w:rsidRDefault="002B5E63" w:rsidP="002B5E63">
      <w:pPr>
        <w:pStyle w:val="contact"/>
        <w:widowControl/>
        <w:rPr>
          <w:rFonts w:ascii="Arial" w:hAnsi="Arial"/>
          <w:smallCaps/>
        </w:rPr>
      </w:pPr>
    </w:p>
    <w:p w:rsidR="002B5E63" w:rsidRPr="00B61888" w:rsidRDefault="002B5E63" w:rsidP="002B5E63">
      <w:pPr>
        <w:pStyle w:val="contact"/>
        <w:widowControl/>
        <w:rPr>
          <w:rFonts w:ascii="Arial" w:hAnsi="Arial"/>
          <w:smallCaps/>
          <w:color w:val="000000"/>
        </w:rPr>
      </w:pPr>
      <w:bookmarkStart w:id="0" w:name="OLE_LINK1"/>
      <w:r w:rsidRPr="00B61888">
        <w:rPr>
          <w:rFonts w:ascii="Arial" w:hAnsi="Arial"/>
          <w:smallCaps/>
          <w:color w:val="000000"/>
        </w:rPr>
        <w:t>CONTACTS:</w:t>
      </w:r>
    </w:p>
    <w:p w:rsidR="00D55524" w:rsidRPr="00F73861" w:rsidRDefault="00D55524" w:rsidP="00D55524">
      <w:pPr>
        <w:pStyle w:val="contact"/>
        <w:widowControl/>
        <w:tabs>
          <w:tab w:val="clear" w:pos="9180"/>
          <w:tab w:val="right" w:pos="10206"/>
        </w:tabs>
        <w:rPr>
          <w:rFonts w:ascii="Arial" w:hAnsi="Arial"/>
          <w:color w:val="000000"/>
        </w:rPr>
      </w:pPr>
      <w:r w:rsidRPr="001348DC">
        <w:rPr>
          <w:rFonts w:ascii="Arial" w:hAnsi="Arial"/>
        </w:rPr>
        <w:t>Janessa Rivera</w:t>
      </w:r>
      <w:r>
        <w:rPr>
          <w:rFonts w:ascii="Arial" w:hAnsi="Arial"/>
          <w:color w:val="000000"/>
        </w:rPr>
        <w:tab/>
        <w:t>Robert van der Meulen</w:t>
      </w:r>
    </w:p>
    <w:p w:rsidR="00D55524" w:rsidRPr="00F73861" w:rsidRDefault="00D55524" w:rsidP="00D55524">
      <w:pPr>
        <w:pStyle w:val="contact"/>
        <w:widowControl/>
        <w:tabs>
          <w:tab w:val="clear" w:pos="9180"/>
          <w:tab w:val="right" w:pos="10206"/>
        </w:tabs>
        <w:rPr>
          <w:rFonts w:ascii="Arial" w:hAnsi="Arial"/>
          <w:color w:val="000000"/>
        </w:rPr>
      </w:pPr>
      <w:r>
        <w:rPr>
          <w:rFonts w:ascii="Arial" w:hAnsi="Arial"/>
          <w:color w:val="000000"/>
        </w:rPr>
        <w:t>Gartner</w:t>
      </w:r>
      <w:r>
        <w:rPr>
          <w:rFonts w:ascii="Arial" w:hAnsi="Arial"/>
          <w:color w:val="000000"/>
        </w:rPr>
        <w:tab/>
      </w:r>
      <w:r w:rsidRPr="00F73861">
        <w:rPr>
          <w:rFonts w:ascii="Arial" w:hAnsi="Arial"/>
          <w:color w:val="000000"/>
        </w:rPr>
        <w:t>Gartner</w:t>
      </w:r>
    </w:p>
    <w:p w:rsidR="00D55524" w:rsidRPr="00F73861" w:rsidRDefault="00D55524" w:rsidP="00D55524">
      <w:pPr>
        <w:pStyle w:val="contact"/>
        <w:widowControl/>
        <w:tabs>
          <w:tab w:val="clear" w:pos="9180"/>
          <w:tab w:val="right" w:pos="10206"/>
        </w:tabs>
        <w:rPr>
          <w:rFonts w:ascii="Arial" w:hAnsi="Arial"/>
          <w:color w:val="000000"/>
        </w:rPr>
      </w:pPr>
      <w:r w:rsidRPr="001348DC">
        <w:rPr>
          <w:rFonts w:ascii="Arial" w:hAnsi="Arial"/>
        </w:rPr>
        <w:t xml:space="preserve">+ 1 </w:t>
      </w:r>
      <w:r>
        <w:rPr>
          <w:rFonts w:ascii="Arial" w:hAnsi="Arial"/>
        </w:rPr>
        <w:t>408 709 8220</w:t>
      </w:r>
      <w:r>
        <w:rPr>
          <w:rFonts w:ascii="Arial" w:hAnsi="Arial"/>
          <w:color w:val="000000"/>
        </w:rPr>
        <w:tab/>
        <w:t>+ 44 (0) 1784 267 738</w:t>
      </w:r>
    </w:p>
    <w:p w:rsidR="00D55524" w:rsidRDefault="00C97DD9" w:rsidP="00D55524">
      <w:pPr>
        <w:pStyle w:val="contact"/>
        <w:widowControl/>
        <w:tabs>
          <w:tab w:val="clear" w:pos="9180"/>
          <w:tab w:val="right" w:pos="10206"/>
        </w:tabs>
        <w:spacing w:after="160"/>
        <w:rPr>
          <w:rFonts w:ascii="Arial" w:hAnsi="Arial" w:cs="Arial"/>
          <w:color w:val="000000"/>
        </w:rPr>
      </w:pPr>
      <w:hyperlink r:id="rId7" w:history="1">
        <w:r w:rsidR="00D55524" w:rsidRPr="005D5807">
          <w:rPr>
            <w:rStyle w:val="Hyperlink"/>
            <w:rFonts w:ascii="Arial" w:hAnsi="Arial" w:cs="Arial"/>
          </w:rPr>
          <w:t>janessa.rivera@gartner.com</w:t>
        </w:r>
      </w:hyperlink>
      <w:r w:rsidR="00D55524">
        <w:rPr>
          <w:rFonts w:ascii="Arial" w:hAnsi="Arial" w:cs="Arial"/>
          <w:color w:val="000000"/>
        </w:rPr>
        <w:t xml:space="preserve"> </w:t>
      </w:r>
      <w:r w:rsidR="00D55524">
        <w:rPr>
          <w:rFonts w:ascii="Arial" w:hAnsi="Arial" w:cs="Arial"/>
          <w:color w:val="000000"/>
        </w:rPr>
        <w:tab/>
      </w:r>
      <w:hyperlink r:id="rId8" w:history="1">
        <w:r w:rsidR="00D55524" w:rsidRPr="004642DC">
          <w:rPr>
            <w:rStyle w:val="Hyperlink"/>
            <w:rFonts w:ascii="Arial" w:hAnsi="Arial" w:cs="Arial"/>
          </w:rPr>
          <w:t>rob.vandermeulen@gartner.com</w:t>
        </w:r>
      </w:hyperlink>
    </w:p>
    <w:p w:rsidR="0036565F" w:rsidRDefault="0036565F" w:rsidP="00B14FFE">
      <w:pPr>
        <w:jc w:val="center"/>
        <w:rPr>
          <w:rFonts w:eastAsia="Times New Roman" w:cs="Arial"/>
          <w:b/>
          <w:color w:val="000000"/>
          <w:sz w:val="24"/>
          <w:szCs w:val="24"/>
        </w:rPr>
      </w:pPr>
    </w:p>
    <w:bookmarkEnd w:id="0"/>
    <w:p w:rsidR="00A425B2" w:rsidRDefault="00A425B2" w:rsidP="00A425B2">
      <w:pPr>
        <w:jc w:val="center"/>
        <w:rPr>
          <w:rFonts w:eastAsia="Times New Roman" w:cs="Arial"/>
          <w:b/>
          <w:color w:val="000000"/>
          <w:sz w:val="24"/>
          <w:szCs w:val="24"/>
        </w:rPr>
      </w:pPr>
      <w:r>
        <w:rPr>
          <w:rFonts w:eastAsia="Times New Roman" w:cs="Arial"/>
          <w:b/>
          <w:color w:val="000000"/>
          <w:sz w:val="24"/>
          <w:szCs w:val="24"/>
        </w:rPr>
        <w:t xml:space="preserve">Gartner Says </w:t>
      </w:r>
      <w:r w:rsidRPr="00B14FFE">
        <w:rPr>
          <w:rFonts w:eastAsia="Times New Roman" w:cs="Arial"/>
          <w:b/>
          <w:color w:val="000000"/>
          <w:sz w:val="24"/>
          <w:szCs w:val="24"/>
        </w:rPr>
        <w:t>Worldwide PC, Tablet an</w:t>
      </w:r>
      <w:r>
        <w:rPr>
          <w:rFonts w:eastAsia="Times New Roman" w:cs="Arial"/>
          <w:b/>
          <w:color w:val="000000"/>
          <w:sz w:val="24"/>
          <w:szCs w:val="24"/>
        </w:rPr>
        <w:t xml:space="preserve">d Mobile Phone </w:t>
      </w:r>
      <w:r w:rsidR="00821D97">
        <w:rPr>
          <w:rFonts w:eastAsia="Times New Roman" w:cs="Arial"/>
          <w:b/>
          <w:color w:val="000000"/>
          <w:sz w:val="24"/>
          <w:szCs w:val="24"/>
        </w:rPr>
        <w:t>Shipments</w:t>
      </w:r>
      <w:r>
        <w:rPr>
          <w:rFonts w:eastAsia="Times New Roman" w:cs="Arial"/>
          <w:b/>
          <w:color w:val="000000"/>
          <w:sz w:val="24"/>
          <w:szCs w:val="24"/>
        </w:rPr>
        <w:t xml:space="preserve"> to Grow </w:t>
      </w:r>
      <w:r w:rsidR="009709F5" w:rsidRPr="009709F5">
        <w:rPr>
          <w:rFonts w:eastAsia="Times New Roman" w:cs="Arial"/>
          <w:b/>
          <w:color w:val="000000"/>
          <w:sz w:val="24"/>
          <w:szCs w:val="24"/>
        </w:rPr>
        <w:t>5.9</w:t>
      </w:r>
      <w:r w:rsidRPr="009709F5">
        <w:rPr>
          <w:rFonts w:eastAsia="Times New Roman" w:cs="Arial"/>
          <w:b/>
          <w:color w:val="000000"/>
          <w:sz w:val="24"/>
          <w:szCs w:val="24"/>
        </w:rPr>
        <w:t xml:space="preserve"> </w:t>
      </w:r>
      <w:r w:rsidR="00FC4721">
        <w:rPr>
          <w:rFonts w:eastAsia="Times New Roman" w:cs="Arial"/>
          <w:b/>
          <w:color w:val="000000"/>
          <w:sz w:val="24"/>
          <w:szCs w:val="24"/>
        </w:rPr>
        <w:t>Per Cent</w:t>
      </w:r>
      <w:r>
        <w:rPr>
          <w:rFonts w:eastAsia="Times New Roman" w:cs="Arial"/>
          <w:b/>
          <w:color w:val="000000"/>
          <w:sz w:val="24"/>
          <w:szCs w:val="24"/>
        </w:rPr>
        <w:t xml:space="preserve"> in 2013 as Anytime-Anywhere-Computing Drives Buyer Behavior</w:t>
      </w:r>
    </w:p>
    <w:p w:rsidR="00A425B2" w:rsidRDefault="00A425B2" w:rsidP="00A425B2">
      <w:pPr>
        <w:jc w:val="center"/>
        <w:rPr>
          <w:rFonts w:eastAsia="Times New Roman" w:cs="Arial"/>
          <w:b/>
          <w:color w:val="000000"/>
          <w:sz w:val="24"/>
          <w:szCs w:val="24"/>
        </w:rPr>
      </w:pPr>
    </w:p>
    <w:p w:rsidR="00A425B2" w:rsidRDefault="009376E4" w:rsidP="00A425B2">
      <w:pPr>
        <w:jc w:val="center"/>
        <w:rPr>
          <w:rFonts w:eastAsia="Times New Roman" w:cs="Arial"/>
          <w:b/>
          <w:i/>
          <w:color w:val="000000"/>
          <w:sz w:val="22"/>
          <w:szCs w:val="22"/>
        </w:rPr>
      </w:pPr>
      <w:r w:rsidRPr="009376E4">
        <w:rPr>
          <w:rFonts w:eastAsia="Times New Roman" w:cs="Arial"/>
          <w:b/>
          <w:i/>
          <w:color w:val="000000"/>
          <w:sz w:val="22"/>
          <w:szCs w:val="22"/>
        </w:rPr>
        <w:t xml:space="preserve">Traditional </w:t>
      </w:r>
      <w:r w:rsidR="00A425B2" w:rsidRPr="009376E4">
        <w:rPr>
          <w:rFonts w:eastAsia="Times New Roman" w:cs="Arial"/>
          <w:b/>
          <w:i/>
          <w:color w:val="000000"/>
          <w:sz w:val="22"/>
          <w:szCs w:val="22"/>
        </w:rPr>
        <w:t>PC Shipments</w:t>
      </w:r>
      <w:r w:rsidR="00A425B2">
        <w:rPr>
          <w:rFonts w:eastAsia="Times New Roman" w:cs="Arial"/>
          <w:b/>
          <w:i/>
          <w:color w:val="000000"/>
          <w:sz w:val="22"/>
          <w:szCs w:val="22"/>
        </w:rPr>
        <w:t xml:space="preserve"> to Decline</w:t>
      </w:r>
      <w:r>
        <w:rPr>
          <w:rFonts w:eastAsia="Times New Roman" w:cs="Arial"/>
          <w:b/>
          <w:i/>
          <w:color w:val="000000"/>
          <w:sz w:val="22"/>
          <w:szCs w:val="22"/>
        </w:rPr>
        <w:t xml:space="preserve"> 10.6 </w:t>
      </w:r>
      <w:r w:rsidR="00FC4721">
        <w:rPr>
          <w:rFonts w:eastAsia="Times New Roman" w:cs="Arial"/>
          <w:b/>
          <w:i/>
          <w:color w:val="000000"/>
          <w:sz w:val="22"/>
          <w:szCs w:val="22"/>
        </w:rPr>
        <w:t>Per Cent</w:t>
      </w:r>
      <w:r>
        <w:rPr>
          <w:rFonts w:eastAsia="Times New Roman" w:cs="Arial"/>
          <w:b/>
          <w:i/>
          <w:color w:val="000000"/>
          <w:sz w:val="22"/>
          <w:szCs w:val="22"/>
        </w:rPr>
        <w:t xml:space="preserve"> in 2013, While Tablet Shipments</w:t>
      </w:r>
      <w:r w:rsidR="00A425B2">
        <w:rPr>
          <w:rFonts w:eastAsia="Times New Roman" w:cs="Arial"/>
          <w:b/>
          <w:i/>
          <w:color w:val="000000"/>
          <w:sz w:val="22"/>
          <w:szCs w:val="22"/>
        </w:rPr>
        <w:t xml:space="preserve"> Increase </w:t>
      </w:r>
      <w:r w:rsidR="00591FB0">
        <w:rPr>
          <w:rFonts w:eastAsia="Times New Roman" w:cs="Arial"/>
          <w:b/>
          <w:i/>
          <w:color w:val="000000"/>
          <w:sz w:val="22"/>
          <w:szCs w:val="22"/>
        </w:rPr>
        <w:t xml:space="preserve">67.9 </w:t>
      </w:r>
      <w:r w:rsidR="00FC4721">
        <w:rPr>
          <w:rFonts w:eastAsia="Times New Roman" w:cs="Arial"/>
          <w:b/>
          <w:i/>
          <w:color w:val="000000"/>
          <w:sz w:val="22"/>
          <w:szCs w:val="22"/>
        </w:rPr>
        <w:t>Per Cent</w:t>
      </w:r>
      <w:r w:rsidR="00A425B2">
        <w:rPr>
          <w:rFonts w:eastAsia="Times New Roman" w:cs="Arial"/>
          <w:b/>
          <w:i/>
          <w:color w:val="000000"/>
          <w:sz w:val="22"/>
          <w:szCs w:val="22"/>
        </w:rPr>
        <w:t xml:space="preserve"> </w:t>
      </w:r>
    </w:p>
    <w:p w:rsidR="00A425B2" w:rsidRDefault="00A425B2" w:rsidP="00A425B2">
      <w:pPr>
        <w:jc w:val="center"/>
        <w:rPr>
          <w:rFonts w:eastAsia="Times New Roman" w:cs="Arial"/>
          <w:b/>
          <w:i/>
          <w:color w:val="000000"/>
          <w:sz w:val="22"/>
          <w:szCs w:val="22"/>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STAMFORD, Conn.</w:t>
      </w:r>
      <w:r w:rsidRPr="00911A24">
        <w:rPr>
          <w:rFonts w:ascii="Arial" w:hAnsi="Arial" w:cs="Arial"/>
          <w:b w:val="0"/>
          <w:sz w:val="22"/>
          <w:szCs w:val="22"/>
        </w:rPr>
        <w:t xml:space="preserve">, </w:t>
      </w:r>
      <w:r>
        <w:rPr>
          <w:rFonts w:ascii="Arial" w:hAnsi="Arial" w:cs="Arial"/>
          <w:b w:val="0"/>
          <w:sz w:val="22"/>
          <w:szCs w:val="22"/>
        </w:rPr>
        <w:t>June 24</w:t>
      </w:r>
      <w:r w:rsidRPr="00911A24">
        <w:rPr>
          <w:rFonts w:ascii="Arial" w:hAnsi="Arial" w:cs="Arial"/>
          <w:b w:val="0"/>
          <w:sz w:val="22"/>
          <w:szCs w:val="22"/>
        </w:rPr>
        <w:t xml:space="preserve">, 2013 — </w:t>
      </w:r>
      <w:r>
        <w:rPr>
          <w:rFonts w:ascii="Arial" w:hAnsi="Arial" w:cs="Arial"/>
          <w:b w:val="0"/>
          <w:sz w:val="22"/>
          <w:szCs w:val="22"/>
        </w:rPr>
        <w:t>Worldwide devices (the combined</w:t>
      </w:r>
      <w:r w:rsidRPr="00911A24">
        <w:rPr>
          <w:rFonts w:ascii="Arial" w:hAnsi="Arial" w:cs="Arial"/>
          <w:b w:val="0"/>
          <w:sz w:val="22"/>
          <w:szCs w:val="22"/>
        </w:rPr>
        <w:t xml:space="preserve"> shipments</w:t>
      </w:r>
      <w:r>
        <w:rPr>
          <w:rFonts w:ascii="Arial" w:hAnsi="Arial" w:cs="Arial"/>
          <w:b w:val="0"/>
          <w:sz w:val="22"/>
          <w:szCs w:val="22"/>
        </w:rPr>
        <w:t xml:space="preserve"> of PCs, tablets and mobile phones) are projected to reach </w:t>
      </w:r>
      <w:r w:rsidR="00591FB0">
        <w:rPr>
          <w:rFonts w:ascii="Arial" w:hAnsi="Arial" w:cs="Arial"/>
          <w:b w:val="0"/>
          <w:sz w:val="22"/>
          <w:szCs w:val="22"/>
        </w:rPr>
        <w:t xml:space="preserve">2.35 </w:t>
      </w:r>
      <w:r>
        <w:rPr>
          <w:rFonts w:ascii="Arial" w:hAnsi="Arial" w:cs="Arial"/>
          <w:b w:val="0"/>
          <w:sz w:val="22"/>
          <w:szCs w:val="22"/>
        </w:rPr>
        <w:t xml:space="preserve">billion units in 2013, a </w:t>
      </w:r>
      <w:r w:rsidR="009709F5" w:rsidRPr="009709F5">
        <w:rPr>
          <w:rFonts w:ascii="Arial" w:hAnsi="Arial" w:cs="Arial"/>
          <w:b w:val="0"/>
          <w:sz w:val="22"/>
          <w:szCs w:val="22"/>
        </w:rPr>
        <w:t>5.9</w:t>
      </w:r>
      <w:r w:rsidRPr="009709F5">
        <w:rPr>
          <w:rFonts w:ascii="Arial" w:hAnsi="Arial" w:cs="Arial"/>
          <w:b w:val="0"/>
          <w:sz w:val="22"/>
          <w:szCs w:val="22"/>
        </w:rPr>
        <w:t xml:space="preserve"> </w:t>
      </w:r>
      <w:r w:rsidR="00FC4721">
        <w:rPr>
          <w:rFonts w:ascii="Arial" w:hAnsi="Arial" w:cs="Arial"/>
          <w:b w:val="0"/>
          <w:sz w:val="22"/>
          <w:szCs w:val="22"/>
        </w:rPr>
        <w:t>per cent</w:t>
      </w:r>
      <w:r>
        <w:rPr>
          <w:rFonts w:ascii="Arial" w:hAnsi="Arial" w:cs="Arial"/>
          <w:b w:val="0"/>
          <w:sz w:val="22"/>
          <w:szCs w:val="22"/>
        </w:rPr>
        <w:t xml:space="preserve"> increase from 2012, according to Gartner, Inc. The market is being driven by sales in tablets, smartphones, and to a lesser extent</w:t>
      </w:r>
      <w:r w:rsidR="009376E4">
        <w:rPr>
          <w:rFonts w:ascii="Arial" w:hAnsi="Arial" w:cs="Arial"/>
          <w:b w:val="0"/>
          <w:sz w:val="22"/>
          <w:szCs w:val="22"/>
        </w:rPr>
        <w:t>,</w:t>
      </w:r>
      <w:r>
        <w:rPr>
          <w:rFonts w:ascii="Arial" w:hAnsi="Arial" w:cs="Arial"/>
          <w:b w:val="0"/>
          <w:sz w:val="22"/>
          <w:szCs w:val="22"/>
        </w:rPr>
        <w:t xml:space="preserve"> ultramobiles, as PC shipments are on the decline.</w:t>
      </w:r>
    </w:p>
    <w:p w:rsidR="00A425B2" w:rsidRDefault="00A425B2" w:rsidP="00A425B2">
      <w:pPr>
        <w:pStyle w:val="Title"/>
        <w:jc w:val="left"/>
        <w:rPr>
          <w:rFonts w:ascii="Arial" w:hAnsi="Arial" w:cs="Arial"/>
          <w:b w:val="0"/>
          <w:sz w:val="22"/>
          <w:szCs w:val="22"/>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 xml:space="preserve">Worldwide </w:t>
      </w:r>
      <w:r w:rsidR="009376E4">
        <w:rPr>
          <w:rFonts w:ascii="Arial" w:hAnsi="Arial" w:cs="Arial"/>
          <w:b w:val="0"/>
          <w:sz w:val="22"/>
          <w:szCs w:val="22"/>
        </w:rPr>
        <w:t>traditional PC (desk-based and notebook) shipments</w:t>
      </w:r>
      <w:r>
        <w:rPr>
          <w:rFonts w:ascii="Arial" w:hAnsi="Arial" w:cs="Arial"/>
          <w:b w:val="0"/>
          <w:sz w:val="22"/>
          <w:szCs w:val="22"/>
        </w:rPr>
        <w:t xml:space="preserve"> are forecast to total 305 million units in 2013, a</w:t>
      </w:r>
      <w:r w:rsidR="009376E4">
        <w:rPr>
          <w:rFonts w:ascii="Arial" w:hAnsi="Arial" w:cs="Arial"/>
          <w:b w:val="0"/>
          <w:sz w:val="22"/>
          <w:szCs w:val="22"/>
        </w:rPr>
        <w:t xml:space="preserve"> 10.6</w:t>
      </w:r>
      <w:r>
        <w:rPr>
          <w:rFonts w:ascii="Arial" w:hAnsi="Arial" w:cs="Arial"/>
          <w:b w:val="0"/>
          <w:sz w:val="22"/>
          <w:szCs w:val="22"/>
        </w:rPr>
        <w:t xml:space="preserve"> </w:t>
      </w:r>
      <w:r w:rsidR="00FC4721">
        <w:rPr>
          <w:rFonts w:ascii="Arial" w:hAnsi="Arial" w:cs="Arial"/>
          <w:b w:val="0"/>
          <w:sz w:val="22"/>
          <w:szCs w:val="22"/>
        </w:rPr>
        <w:t>per cent</w:t>
      </w:r>
      <w:r>
        <w:rPr>
          <w:rFonts w:ascii="Arial" w:hAnsi="Arial" w:cs="Arial"/>
          <w:b w:val="0"/>
          <w:sz w:val="22"/>
          <w:szCs w:val="22"/>
        </w:rPr>
        <w:t xml:space="preserve"> d</w:t>
      </w:r>
      <w:r w:rsidR="009376E4">
        <w:rPr>
          <w:rFonts w:ascii="Arial" w:hAnsi="Arial" w:cs="Arial"/>
          <w:b w:val="0"/>
          <w:sz w:val="22"/>
          <w:szCs w:val="22"/>
        </w:rPr>
        <w:t xml:space="preserve">ecline from 2012 , while the PC market including ultramobiles is forecast to decline 7.3 </w:t>
      </w:r>
      <w:r w:rsidR="00FC4721">
        <w:rPr>
          <w:rFonts w:ascii="Arial" w:hAnsi="Arial" w:cs="Arial"/>
          <w:b w:val="0"/>
          <w:sz w:val="22"/>
          <w:szCs w:val="22"/>
        </w:rPr>
        <w:t>per cent</w:t>
      </w:r>
      <w:r w:rsidR="009376E4">
        <w:rPr>
          <w:rFonts w:ascii="Arial" w:hAnsi="Arial" w:cs="Arial"/>
          <w:b w:val="0"/>
          <w:sz w:val="22"/>
          <w:szCs w:val="22"/>
        </w:rPr>
        <w:t xml:space="preserve"> in 2013 (see Table 1). Tablet</w:t>
      </w:r>
      <w:r>
        <w:rPr>
          <w:rFonts w:ascii="Arial" w:hAnsi="Arial" w:cs="Arial"/>
          <w:b w:val="0"/>
          <w:sz w:val="22"/>
          <w:szCs w:val="22"/>
        </w:rPr>
        <w:t xml:space="preserve"> shipments are expected to grow </w:t>
      </w:r>
      <w:r w:rsidR="00591FB0">
        <w:rPr>
          <w:rFonts w:ascii="Arial" w:hAnsi="Arial" w:cs="Arial"/>
          <w:b w:val="0"/>
          <w:sz w:val="22"/>
          <w:szCs w:val="22"/>
        </w:rPr>
        <w:t xml:space="preserve">67.9 </w:t>
      </w:r>
      <w:r w:rsidR="00FC4721">
        <w:rPr>
          <w:rFonts w:ascii="Arial" w:hAnsi="Arial" w:cs="Arial"/>
          <w:b w:val="0"/>
          <w:sz w:val="22"/>
          <w:szCs w:val="22"/>
        </w:rPr>
        <w:t>per cent</w:t>
      </w:r>
      <w:r>
        <w:rPr>
          <w:rFonts w:ascii="Arial" w:hAnsi="Arial" w:cs="Arial"/>
          <w:b w:val="0"/>
          <w:sz w:val="22"/>
          <w:szCs w:val="22"/>
        </w:rPr>
        <w:t xml:space="preserve">, with shipments reaching 202 million units, while the mobile phone market will grow </w:t>
      </w:r>
      <w:r w:rsidR="009709F5" w:rsidRPr="009709F5">
        <w:rPr>
          <w:rFonts w:ascii="Arial" w:hAnsi="Arial" w:cs="Arial"/>
          <w:b w:val="0"/>
          <w:sz w:val="22"/>
          <w:szCs w:val="22"/>
        </w:rPr>
        <w:t>4.3</w:t>
      </w:r>
      <w:r w:rsidRPr="009709F5">
        <w:rPr>
          <w:rFonts w:ascii="Arial" w:hAnsi="Arial" w:cs="Arial"/>
          <w:b w:val="0"/>
          <w:sz w:val="22"/>
          <w:szCs w:val="22"/>
        </w:rPr>
        <w:t xml:space="preserve"> </w:t>
      </w:r>
      <w:r w:rsidR="00FC4721">
        <w:rPr>
          <w:rFonts w:ascii="Arial" w:hAnsi="Arial" w:cs="Arial"/>
          <w:b w:val="0"/>
          <w:sz w:val="22"/>
          <w:szCs w:val="22"/>
        </w:rPr>
        <w:t>per cent</w:t>
      </w:r>
      <w:r>
        <w:rPr>
          <w:rFonts w:ascii="Arial" w:hAnsi="Arial" w:cs="Arial"/>
          <w:b w:val="0"/>
          <w:sz w:val="22"/>
          <w:szCs w:val="22"/>
        </w:rPr>
        <w:t xml:space="preserve">, with volume </w:t>
      </w:r>
      <w:r w:rsidR="00821D97">
        <w:rPr>
          <w:rFonts w:ascii="Arial" w:hAnsi="Arial" w:cs="Arial"/>
          <w:b w:val="0"/>
          <w:sz w:val="22"/>
          <w:szCs w:val="22"/>
        </w:rPr>
        <w:t xml:space="preserve">of more than 1.8 billion units. </w:t>
      </w:r>
      <w:r>
        <w:rPr>
          <w:rFonts w:ascii="Arial" w:hAnsi="Arial" w:cs="Arial"/>
          <w:b w:val="0"/>
          <w:sz w:val="22"/>
          <w:szCs w:val="22"/>
        </w:rPr>
        <w:t xml:space="preserve">The sharp decline in PC sales recorded in the first quarter was the result </w:t>
      </w:r>
      <w:r w:rsidR="00FC4721">
        <w:rPr>
          <w:rFonts w:ascii="Arial" w:hAnsi="Arial" w:cs="Arial"/>
          <w:b w:val="0"/>
          <w:sz w:val="22"/>
          <w:szCs w:val="22"/>
        </w:rPr>
        <w:t>of</w:t>
      </w:r>
      <w:r>
        <w:rPr>
          <w:rFonts w:ascii="Arial" w:hAnsi="Arial" w:cs="Arial"/>
          <w:b w:val="0"/>
          <w:sz w:val="22"/>
          <w:szCs w:val="22"/>
        </w:rPr>
        <w:t xml:space="preserve"> a change in preferences in consumers</w:t>
      </w:r>
      <w:r w:rsidR="002712EA">
        <w:rPr>
          <w:rFonts w:ascii="Arial" w:hAnsi="Arial" w:cs="Arial"/>
          <w:b w:val="0"/>
          <w:sz w:val="22"/>
          <w:szCs w:val="22"/>
        </w:rPr>
        <w:t>’</w:t>
      </w:r>
      <w:r>
        <w:rPr>
          <w:rFonts w:ascii="Arial" w:hAnsi="Arial" w:cs="Arial"/>
          <w:b w:val="0"/>
          <w:sz w:val="22"/>
          <w:szCs w:val="22"/>
        </w:rPr>
        <w:t xml:space="preserve"> wants and needs, but also an adjustment in the channel to make room for new products hitting the market in the second half of 2013.</w:t>
      </w:r>
    </w:p>
    <w:p w:rsidR="00A425B2" w:rsidRDefault="00A425B2" w:rsidP="00A425B2">
      <w:pPr>
        <w:pStyle w:val="Title"/>
        <w:jc w:val="left"/>
        <w:rPr>
          <w:rFonts w:ascii="Arial" w:hAnsi="Arial" w:cs="Arial"/>
          <w:b w:val="0"/>
          <w:sz w:val="22"/>
          <w:szCs w:val="22"/>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 xml:space="preserve">“Consumers want anytime-anywhere computing that allows them to consume and create content with ease, but also share and access that content from a different portfolio of products. Mobility is paramount in both mature and emerging markets,” said </w:t>
      </w:r>
      <w:r>
        <w:rPr>
          <w:rFonts w:ascii="Arial" w:eastAsia="SimSun" w:hAnsi="Arial" w:cs="Arial"/>
          <w:b w:val="0"/>
          <w:color w:val="000000" w:themeColor="text1"/>
          <w:sz w:val="22"/>
          <w:szCs w:val="22"/>
        </w:rPr>
        <w:t>Carolina Milanesi, research vice president at Gartner.</w:t>
      </w:r>
      <w:r>
        <w:rPr>
          <w:rFonts w:ascii="Arial" w:hAnsi="Arial" w:cs="Arial"/>
          <w:b w:val="0"/>
          <w:sz w:val="22"/>
          <w:szCs w:val="22"/>
        </w:rPr>
        <w:t xml:space="preserve"> </w:t>
      </w:r>
    </w:p>
    <w:p w:rsidR="00A425B2" w:rsidRDefault="00A425B2" w:rsidP="00A425B2">
      <w:pPr>
        <w:pStyle w:val="Title"/>
        <w:jc w:val="left"/>
        <w:rPr>
          <w:rFonts w:ascii="Arial" w:hAnsi="Arial" w:cs="Arial"/>
          <w:b w:val="0"/>
          <w:sz w:val="22"/>
          <w:szCs w:val="22"/>
        </w:rPr>
      </w:pPr>
    </w:p>
    <w:p w:rsidR="00A425B2" w:rsidRPr="00E85907" w:rsidRDefault="00A425B2" w:rsidP="00A425B2">
      <w:pPr>
        <w:pStyle w:val="ListBullet"/>
        <w:spacing w:before="0"/>
        <w:ind w:left="0" w:firstLine="0"/>
        <w:rPr>
          <w:rFonts w:cs="Arial"/>
          <w:b/>
          <w:sz w:val="22"/>
          <w:szCs w:val="22"/>
        </w:rPr>
      </w:pPr>
      <w:r w:rsidRPr="00E85907">
        <w:rPr>
          <w:rFonts w:cs="Arial"/>
          <w:b/>
          <w:sz w:val="22"/>
          <w:szCs w:val="22"/>
        </w:rPr>
        <w:t>Table 1</w:t>
      </w:r>
    </w:p>
    <w:p w:rsidR="00A425B2" w:rsidRDefault="00A425B2" w:rsidP="00A425B2">
      <w:pPr>
        <w:pStyle w:val="Title"/>
        <w:jc w:val="left"/>
        <w:rPr>
          <w:rFonts w:ascii="Arial" w:hAnsi="Arial" w:cs="Arial"/>
          <w:color w:val="000000"/>
          <w:sz w:val="22"/>
          <w:szCs w:val="22"/>
          <w:lang w:val="en-GB"/>
        </w:rPr>
      </w:pPr>
      <w:r w:rsidRPr="00E85907">
        <w:rPr>
          <w:rFonts w:ascii="Arial" w:hAnsi="Arial" w:cs="Arial"/>
          <w:color w:val="000000"/>
          <w:sz w:val="22"/>
          <w:szCs w:val="22"/>
          <w:lang w:val="en-GB"/>
        </w:rPr>
        <w:t>Worldwide Devices Shipments by Segment (Thousands of Units)</w:t>
      </w:r>
    </w:p>
    <w:tbl>
      <w:tblPr>
        <w:tblW w:w="4160" w:type="pct"/>
        <w:tblBorders>
          <w:top w:val="single" w:sz="6" w:space="0" w:color="auto"/>
          <w:left w:val="single" w:sz="6" w:space="0" w:color="auto"/>
          <w:bottom w:val="single" w:sz="6" w:space="0" w:color="auto"/>
          <w:right w:val="single" w:sz="6" w:space="0" w:color="auto"/>
        </w:tblBorders>
        <w:tblLook w:val="0000"/>
      </w:tblPr>
      <w:tblGrid>
        <w:gridCol w:w="3730"/>
        <w:gridCol w:w="1695"/>
        <w:gridCol w:w="1781"/>
        <w:gridCol w:w="1612"/>
      </w:tblGrid>
      <w:tr w:rsidR="00A425B2" w:rsidTr="00D0614C">
        <w:tc>
          <w:tcPr>
            <w:tcW w:w="2115" w:type="pct"/>
            <w:tcBorders>
              <w:top w:val="single" w:sz="6" w:space="0" w:color="auto"/>
              <w:bottom w:val="single" w:sz="6" w:space="0" w:color="auto"/>
            </w:tcBorders>
          </w:tcPr>
          <w:p w:rsidR="00A425B2" w:rsidRDefault="00A425B2" w:rsidP="00D0614C">
            <w:pPr>
              <w:pStyle w:val="HeadingJustified"/>
              <w:tabs>
                <w:tab w:val="decimal" w:pos="990"/>
                <w:tab w:val="decimal" w:pos="2070"/>
                <w:tab w:val="left" w:pos="2880"/>
                <w:tab w:val="decimal" w:pos="4140"/>
                <w:tab w:val="decimal" w:pos="4860"/>
                <w:tab w:val="decimal" w:pos="7020"/>
                <w:tab w:val="decimal" w:pos="7110"/>
              </w:tabs>
            </w:pPr>
            <w:r>
              <w:t>Device Type</w:t>
            </w:r>
          </w:p>
        </w:tc>
        <w:tc>
          <w:tcPr>
            <w:tcW w:w="961"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2012</w:t>
            </w:r>
          </w:p>
        </w:tc>
        <w:tc>
          <w:tcPr>
            <w:tcW w:w="1010"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2013</w:t>
            </w:r>
          </w:p>
        </w:tc>
        <w:tc>
          <w:tcPr>
            <w:tcW w:w="914"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2014</w:t>
            </w:r>
          </w:p>
        </w:tc>
      </w:tr>
      <w:tr w:rsidR="00591FB0" w:rsidRPr="00591FB0" w:rsidTr="00D0614C">
        <w:tc>
          <w:tcPr>
            <w:tcW w:w="2115" w:type="pct"/>
            <w:tcBorders>
              <w:top w:val="nil"/>
            </w:tcBorders>
            <w:vAlign w:val="bottom"/>
          </w:tcPr>
          <w:p w:rsidR="00591FB0" w:rsidRPr="00591FB0" w:rsidRDefault="00591FB0" w:rsidP="00D0614C">
            <w:pPr>
              <w:rPr>
                <w:rFonts w:cs="Arial"/>
                <w:color w:val="000000"/>
              </w:rPr>
            </w:pPr>
            <w:r w:rsidRPr="00591FB0">
              <w:rPr>
                <w:rFonts w:cs="Arial"/>
                <w:color w:val="000000"/>
              </w:rPr>
              <w:t>PC (Desk-Based and Notebook)</w:t>
            </w:r>
          </w:p>
        </w:tc>
        <w:tc>
          <w:tcPr>
            <w:tcW w:w="961" w:type="pct"/>
            <w:tcBorders>
              <w:top w:val="nil"/>
            </w:tcBorders>
            <w:vAlign w:val="bottom"/>
          </w:tcPr>
          <w:p w:rsidR="00591FB0" w:rsidRPr="00591FB0" w:rsidRDefault="00591FB0" w:rsidP="0054111B">
            <w:pPr>
              <w:jc w:val="right"/>
              <w:rPr>
                <w:rFonts w:cs="Arial"/>
              </w:rPr>
            </w:pPr>
            <w:r w:rsidRPr="00591FB0">
              <w:rPr>
                <w:rFonts w:cs="Arial"/>
              </w:rPr>
              <w:t>341,273</w:t>
            </w:r>
          </w:p>
        </w:tc>
        <w:tc>
          <w:tcPr>
            <w:tcW w:w="1010" w:type="pct"/>
            <w:tcBorders>
              <w:top w:val="nil"/>
            </w:tcBorders>
            <w:vAlign w:val="bottom"/>
          </w:tcPr>
          <w:p w:rsidR="00591FB0" w:rsidRPr="00591FB0" w:rsidRDefault="00591FB0" w:rsidP="0054111B">
            <w:pPr>
              <w:jc w:val="right"/>
              <w:rPr>
                <w:rFonts w:cs="Arial"/>
              </w:rPr>
            </w:pPr>
            <w:r w:rsidRPr="00591FB0">
              <w:rPr>
                <w:rFonts w:cs="Arial"/>
              </w:rPr>
              <w:t>305,178</w:t>
            </w:r>
          </w:p>
        </w:tc>
        <w:tc>
          <w:tcPr>
            <w:tcW w:w="914" w:type="pct"/>
            <w:tcBorders>
              <w:top w:val="nil"/>
            </w:tcBorders>
            <w:vAlign w:val="bottom"/>
          </w:tcPr>
          <w:p w:rsidR="00591FB0" w:rsidRPr="00591FB0" w:rsidRDefault="00591FB0" w:rsidP="0054111B">
            <w:pPr>
              <w:jc w:val="right"/>
              <w:rPr>
                <w:rFonts w:cs="Arial"/>
              </w:rPr>
            </w:pPr>
            <w:r w:rsidRPr="00591FB0">
              <w:rPr>
                <w:rFonts w:cs="Arial"/>
              </w:rPr>
              <w:t>289,239</w:t>
            </w:r>
          </w:p>
        </w:tc>
      </w:tr>
      <w:tr w:rsidR="00591FB0" w:rsidRPr="00591FB0" w:rsidTr="00D0614C">
        <w:tc>
          <w:tcPr>
            <w:tcW w:w="2115" w:type="pct"/>
            <w:vAlign w:val="bottom"/>
          </w:tcPr>
          <w:p w:rsidR="00591FB0" w:rsidRPr="00591FB0" w:rsidRDefault="00591FB0" w:rsidP="00D0614C">
            <w:pPr>
              <w:rPr>
                <w:rFonts w:cs="Arial"/>
                <w:color w:val="000000"/>
              </w:rPr>
            </w:pPr>
            <w:r w:rsidRPr="00591FB0">
              <w:rPr>
                <w:rFonts w:cs="Arial"/>
                <w:color w:val="000000"/>
              </w:rPr>
              <w:t>Ultramobile</w:t>
            </w:r>
          </w:p>
        </w:tc>
        <w:tc>
          <w:tcPr>
            <w:tcW w:w="961" w:type="pct"/>
            <w:vAlign w:val="bottom"/>
          </w:tcPr>
          <w:p w:rsidR="00591FB0" w:rsidRPr="00591FB0" w:rsidRDefault="00591FB0" w:rsidP="0054111B">
            <w:pPr>
              <w:jc w:val="right"/>
              <w:rPr>
                <w:rFonts w:cs="Arial"/>
              </w:rPr>
            </w:pPr>
            <w:r w:rsidRPr="00591FB0">
              <w:rPr>
                <w:rFonts w:cs="Arial"/>
              </w:rPr>
              <w:t>9,787</w:t>
            </w:r>
          </w:p>
        </w:tc>
        <w:tc>
          <w:tcPr>
            <w:tcW w:w="1010" w:type="pct"/>
            <w:vAlign w:val="bottom"/>
          </w:tcPr>
          <w:p w:rsidR="00591FB0" w:rsidRPr="00591FB0" w:rsidRDefault="00591FB0" w:rsidP="0054111B">
            <w:pPr>
              <w:jc w:val="right"/>
              <w:rPr>
                <w:rFonts w:cs="Arial"/>
              </w:rPr>
            </w:pPr>
            <w:r w:rsidRPr="00591FB0">
              <w:rPr>
                <w:rFonts w:cs="Arial"/>
              </w:rPr>
              <w:t>20,301</w:t>
            </w:r>
          </w:p>
        </w:tc>
        <w:tc>
          <w:tcPr>
            <w:tcW w:w="914" w:type="pct"/>
            <w:vAlign w:val="bottom"/>
          </w:tcPr>
          <w:p w:rsidR="00591FB0" w:rsidRPr="00591FB0" w:rsidRDefault="00591FB0" w:rsidP="0054111B">
            <w:pPr>
              <w:jc w:val="right"/>
              <w:rPr>
                <w:rFonts w:cs="Arial"/>
              </w:rPr>
            </w:pPr>
            <w:r w:rsidRPr="00591FB0">
              <w:rPr>
                <w:rFonts w:cs="Arial"/>
              </w:rPr>
              <w:t>39,824</w:t>
            </w:r>
          </w:p>
        </w:tc>
      </w:tr>
      <w:tr w:rsidR="00591FB0" w:rsidRPr="00591FB0" w:rsidTr="00D0614C">
        <w:tc>
          <w:tcPr>
            <w:tcW w:w="2115" w:type="pct"/>
            <w:vAlign w:val="bottom"/>
          </w:tcPr>
          <w:p w:rsidR="00591FB0" w:rsidRPr="00591FB0" w:rsidRDefault="00591FB0" w:rsidP="00D0614C">
            <w:pPr>
              <w:rPr>
                <w:rFonts w:cs="Arial"/>
                <w:color w:val="000000"/>
              </w:rPr>
            </w:pPr>
            <w:r w:rsidRPr="00591FB0">
              <w:rPr>
                <w:rFonts w:cs="Arial"/>
                <w:color w:val="000000"/>
              </w:rPr>
              <w:t>Tablet</w:t>
            </w:r>
          </w:p>
        </w:tc>
        <w:tc>
          <w:tcPr>
            <w:tcW w:w="961" w:type="pct"/>
            <w:vAlign w:val="bottom"/>
          </w:tcPr>
          <w:p w:rsidR="00591FB0" w:rsidRPr="00591FB0" w:rsidRDefault="00591FB0" w:rsidP="0054111B">
            <w:pPr>
              <w:jc w:val="right"/>
              <w:rPr>
                <w:rFonts w:cs="Arial"/>
              </w:rPr>
            </w:pPr>
            <w:r w:rsidRPr="00591FB0">
              <w:rPr>
                <w:rFonts w:cs="Arial"/>
              </w:rPr>
              <w:t>120,203</w:t>
            </w:r>
          </w:p>
        </w:tc>
        <w:tc>
          <w:tcPr>
            <w:tcW w:w="1010" w:type="pct"/>
            <w:vAlign w:val="bottom"/>
          </w:tcPr>
          <w:p w:rsidR="00591FB0" w:rsidRPr="00591FB0" w:rsidRDefault="00591FB0" w:rsidP="0054111B">
            <w:pPr>
              <w:jc w:val="right"/>
              <w:rPr>
                <w:rFonts w:cs="Arial"/>
              </w:rPr>
            </w:pPr>
            <w:r w:rsidRPr="00591FB0">
              <w:rPr>
                <w:rFonts w:cs="Arial"/>
              </w:rPr>
              <w:t>201,825</w:t>
            </w:r>
          </w:p>
        </w:tc>
        <w:tc>
          <w:tcPr>
            <w:tcW w:w="914" w:type="pct"/>
            <w:vAlign w:val="bottom"/>
          </w:tcPr>
          <w:p w:rsidR="00591FB0" w:rsidRPr="00591FB0" w:rsidRDefault="00591FB0" w:rsidP="0054111B">
            <w:pPr>
              <w:jc w:val="right"/>
              <w:rPr>
                <w:rFonts w:cs="Arial"/>
              </w:rPr>
            </w:pPr>
            <w:r w:rsidRPr="00591FB0">
              <w:rPr>
                <w:rFonts w:cs="Arial"/>
              </w:rPr>
              <w:t>276,178</w:t>
            </w:r>
          </w:p>
        </w:tc>
      </w:tr>
      <w:tr w:rsidR="00591FB0" w:rsidRPr="00591FB0" w:rsidTr="00D0614C">
        <w:tc>
          <w:tcPr>
            <w:tcW w:w="2115" w:type="pct"/>
            <w:vAlign w:val="bottom"/>
          </w:tcPr>
          <w:p w:rsidR="00591FB0" w:rsidRPr="00591FB0" w:rsidRDefault="00591FB0" w:rsidP="00D0614C">
            <w:pPr>
              <w:rPr>
                <w:rFonts w:cs="Arial"/>
                <w:color w:val="000000"/>
              </w:rPr>
            </w:pPr>
            <w:r w:rsidRPr="00591FB0">
              <w:rPr>
                <w:rFonts w:cs="Arial"/>
                <w:color w:val="000000"/>
              </w:rPr>
              <w:t>Mobile Phone</w:t>
            </w:r>
          </w:p>
        </w:tc>
        <w:tc>
          <w:tcPr>
            <w:tcW w:w="961" w:type="pct"/>
            <w:vAlign w:val="bottom"/>
          </w:tcPr>
          <w:p w:rsidR="00591FB0" w:rsidRPr="00591FB0" w:rsidRDefault="00591FB0" w:rsidP="0054111B">
            <w:pPr>
              <w:jc w:val="right"/>
              <w:rPr>
                <w:rFonts w:cs="Arial"/>
              </w:rPr>
            </w:pPr>
            <w:r w:rsidRPr="00591FB0">
              <w:rPr>
                <w:rFonts w:cs="Arial"/>
              </w:rPr>
              <w:t>1,746,177</w:t>
            </w:r>
          </w:p>
        </w:tc>
        <w:tc>
          <w:tcPr>
            <w:tcW w:w="1010" w:type="pct"/>
            <w:vAlign w:val="bottom"/>
          </w:tcPr>
          <w:p w:rsidR="00591FB0" w:rsidRPr="00591FB0" w:rsidRDefault="00591FB0" w:rsidP="0054111B">
            <w:pPr>
              <w:jc w:val="right"/>
              <w:rPr>
                <w:rFonts w:cs="Arial"/>
              </w:rPr>
            </w:pPr>
            <w:r w:rsidRPr="00591FB0">
              <w:rPr>
                <w:rFonts w:cs="Arial"/>
              </w:rPr>
              <w:t>1,821,193</w:t>
            </w:r>
          </w:p>
        </w:tc>
        <w:tc>
          <w:tcPr>
            <w:tcW w:w="914" w:type="pct"/>
            <w:vAlign w:val="bottom"/>
          </w:tcPr>
          <w:p w:rsidR="00591FB0" w:rsidRPr="00591FB0" w:rsidRDefault="00591FB0" w:rsidP="0054111B">
            <w:pPr>
              <w:jc w:val="right"/>
              <w:rPr>
                <w:rFonts w:cs="Arial"/>
              </w:rPr>
            </w:pPr>
            <w:r w:rsidRPr="00591FB0">
              <w:rPr>
                <w:rFonts w:cs="Arial"/>
              </w:rPr>
              <w:t>1901,188</w:t>
            </w:r>
          </w:p>
        </w:tc>
      </w:tr>
      <w:tr w:rsidR="00591FB0" w:rsidRPr="007A15A5" w:rsidTr="00D0614C">
        <w:tc>
          <w:tcPr>
            <w:tcW w:w="2115" w:type="pct"/>
            <w:vAlign w:val="bottom"/>
          </w:tcPr>
          <w:p w:rsidR="00591FB0" w:rsidRPr="00591FB0" w:rsidRDefault="00591FB0" w:rsidP="00D0614C">
            <w:pPr>
              <w:rPr>
                <w:rFonts w:cs="Arial"/>
                <w:b/>
              </w:rPr>
            </w:pPr>
            <w:r w:rsidRPr="00591FB0">
              <w:rPr>
                <w:rFonts w:cs="Arial"/>
                <w:b/>
              </w:rPr>
              <w:t>Total</w:t>
            </w:r>
          </w:p>
        </w:tc>
        <w:tc>
          <w:tcPr>
            <w:tcW w:w="961" w:type="pct"/>
            <w:vAlign w:val="bottom"/>
          </w:tcPr>
          <w:p w:rsidR="00591FB0" w:rsidRPr="00591FB0" w:rsidRDefault="00591FB0" w:rsidP="0054111B">
            <w:pPr>
              <w:jc w:val="right"/>
              <w:rPr>
                <w:rFonts w:cs="Arial"/>
                <w:b/>
              </w:rPr>
            </w:pPr>
            <w:r w:rsidRPr="00591FB0">
              <w:rPr>
                <w:rFonts w:cs="Arial"/>
                <w:b/>
              </w:rPr>
              <w:t>2,217,440</w:t>
            </w:r>
          </w:p>
        </w:tc>
        <w:tc>
          <w:tcPr>
            <w:tcW w:w="1010" w:type="pct"/>
            <w:vAlign w:val="bottom"/>
          </w:tcPr>
          <w:p w:rsidR="00591FB0" w:rsidRPr="00591FB0" w:rsidRDefault="00591FB0" w:rsidP="0054111B">
            <w:pPr>
              <w:jc w:val="right"/>
              <w:rPr>
                <w:rFonts w:cs="Arial"/>
                <w:b/>
                <w:bCs/>
              </w:rPr>
            </w:pPr>
            <w:r w:rsidRPr="00591FB0">
              <w:rPr>
                <w:rFonts w:cs="Arial"/>
                <w:b/>
                <w:bCs/>
              </w:rPr>
              <w:t>2,348,497</w:t>
            </w:r>
          </w:p>
        </w:tc>
        <w:tc>
          <w:tcPr>
            <w:tcW w:w="914" w:type="pct"/>
            <w:vAlign w:val="bottom"/>
          </w:tcPr>
          <w:p w:rsidR="00591FB0" w:rsidRPr="00591FB0" w:rsidRDefault="00591FB0" w:rsidP="0054111B">
            <w:pPr>
              <w:jc w:val="right"/>
              <w:rPr>
                <w:rFonts w:cs="Arial"/>
                <w:b/>
                <w:bCs/>
              </w:rPr>
            </w:pPr>
            <w:r w:rsidRPr="00591FB0">
              <w:rPr>
                <w:rFonts w:cs="Arial"/>
                <w:b/>
                <w:bCs/>
              </w:rPr>
              <w:t>2,506,429</w:t>
            </w:r>
          </w:p>
        </w:tc>
      </w:tr>
    </w:tbl>
    <w:p w:rsidR="00A425B2" w:rsidRDefault="00A425B2" w:rsidP="00A425B2">
      <w:pPr>
        <w:pStyle w:val="Title"/>
        <w:jc w:val="left"/>
        <w:rPr>
          <w:rFonts w:ascii="Arial" w:hAnsi="Arial" w:cs="Arial"/>
          <w:b w:val="0"/>
          <w:color w:val="000000"/>
          <w:sz w:val="20"/>
          <w:lang w:val="en-GB"/>
        </w:rPr>
      </w:pPr>
      <w:r w:rsidRPr="00220E73">
        <w:rPr>
          <w:rFonts w:ascii="Arial" w:hAnsi="Arial" w:cs="Arial"/>
          <w:b w:val="0"/>
          <w:color w:val="000000"/>
          <w:sz w:val="20"/>
          <w:lang w:val="en-GB"/>
        </w:rPr>
        <w:t>Source: Gartner (June 2013)</w:t>
      </w:r>
    </w:p>
    <w:p w:rsidR="00A425B2" w:rsidRDefault="00A425B2" w:rsidP="00A425B2">
      <w:pPr>
        <w:pStyle w:val="Title"/>
        <w:jc w:val="left"/>
        <w:rPr>
          <w:rFonts w:ascii="Arial" w:hAnsi="Arial" w:cs="Arial"/>
          <w:b w:val="0"/>
          <w:color w:val="000000"/>
          <w:sz w:val="20"/>
          <w:lang w:val="en-GB"/>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Demand fo</w:t>
      </w:r>
      <w:r w:rsidR="00821D97">
        <w:rPr>
          <w:rFonts w:ascii="Arial" w:hAnsi="Arial" w:cs="Arial"/>
          <w:b w:val="0"/>
          <w:sz w:val="22"/>
          <w:szCs w:val="22"/>
        </w:rPr>
        <w:t xml:space="preserve">r ultramobiles (which includes </w:t>
      </w:r>
      <w:proofErr w:type="spellStart"/>
      <w:r w:rsidR="00821D97">
        <w:rPr>
          <w:rFonts w:ascii="Arial" w:hAnsi="Arial" w:cs="Arial"/>
          <w:b w:val="0"/>
          <w:sz w:val="22"/>
          <w:szCs w:val="22"/>
        </w:rPr>
        <w:t>C</w:t>
      </w:r>
      <w:r>
        <w:rPr>
          <w:rFonts w:ascii="Arial" w:hAnsi="Arial" w:cs="Arial"/>
          <w:b w:val="0"/>
          <w:sz w:val="22"/>
          <w:szCs w:val="22"/>
        </w:rPr>
        <w:t>hromebooks</w:t>
      </w:r>
      <w:proofErr w:type="spellEnd"/>
      <w:r w:rsidR="002712EA">
        <w:rPr>
          <w:rFonts w:ascii="Arial" w:hAnsi="Arial" w:cs="Arial"/>
          <w:b w:val="0"/>
          <w:sz w:val="22"/>
          <w:szCs w:val="22"/>
        </w:rPr>
        <w:t>, thin and light clamshell</w:t>
      </w:r>
      <w:r>
        <w:rPr>
          <w:rFonts w:ascii="Arial" w:hAnsi="Arial" w:cs="Arial"/>
          <w:b w:val="0"/>
          <w:sz w:val="22"/>
          <w:szCs w:val="22"/>
        </w:rPr>
        <w:t xml:space="preserve"> desi</w:t>
      </w:r>
      <w:r w:rsidR="002712EA">
        <w:rPr>
          <w:rFonts w:ascii="Arial" w:hAnsi="Arial" w:cs="Arial"/>
          <w:b w:val="0"/>
          <w:sz w:val="22"/>
          <w:szCs w:val="22"/>
        </w:rPr>
        <w:t>gns</w:t>
      </w:r>
      <w:r w:rsidR="00821D97">
        <w:rPr>
          <w:rFonts w:ascii="Arial" w:hAnsi="Arial" w:cs="Arial"/>
          <w:b w:val="0"/>
          <w:sz w:val="22"/>
          <w:szCs w:val="22"/>
        </w:rPr>
        <w:t>, and</w:t>
      </w:r>
      <w:r w:rsidR="002712EA">
        <w:rPr>
          <w:rFonts w:ascii="Arial" w:hAnsi="Arial" w:cs="Arial"/>
          <w:b w:val="0"/>
          <w:sz w:val="22"/>
          <w:szCs w:val="22"/>
        </w:rPr>
        <w:t xml:space="preserve"> slate and hybrid</w:t>
      </w:r>
      <w:r>
        <w:rPr>
          <w:rFonts w:ascii="Arial" w:hAnsi="Arial" w:cs="Arial"/>
          <w:b w:val="0"/>
          <w:sz w:val="22"/>
          <w:szCs w:val="22"/>
        </w:rPr>
        <w:t xml:space="preserve"> devices running Windows 8) will come from upgrades of both notebooks and premium tablets, such as the Apple iPad or Galaxy Tab10.1. Analysts said </w:t>
      </w:r>
      <w:proofErr w:type="spellStart"/>
      <w:r>
        <w:rPr>
          <w:rFonts w:ascii="Arial" w:hAnsi="Arial" w:cs="Arial"/>
          <w:b w:val="0"/>
          <w:sz w:val="22"/>
          <w:szCs w:val="22"/>
        </w:rPr>
        <w:t>ultramobile</w:t>
      </w:r>
      <w:proofErr w:type="spellEnd"/>
      <w:r>
        <w:rPr>
          <w:rFonts w:ascii="Arial" w:hAnsi="Arial" w:cs="Arial"/>
          <w:b w:val="0"/>
          <w:sz w:val="22"/>
          <w:szCs w:val="22"/>
        </w:rPr>
        <w:t xml:space="preserve"> devices are gaining in attractiveness and drawing demand away from other devices. This will be even more evident in the fourth quarter of 2013 </w:t>
      </w:r>
      <w:r>
        <w:rPr>
          <w:rFonts w:ascii="Arial" w:hAnsi="Arial" w:cs="Arial"/>
          <w:b w:val="0"/>
          <w:sz w:val="22"/>
          <w:szCs w:val="22"/>
        </w:rPr>
        <w:lastRenderedPageBreak/>
        <w:t xml:space="preserve">when the combination of new design based on Intel processors Bay Trail and Haswell running on Windows 8.1 will hit the market. Although these devices will only marginally help overall sales volumes initially, they are expected to help vendors increase average selling prices (ASPs) and margins. </w:t>
      </w:r>
    </w:p>
    <w:p w:rsidR="00A425B2" w:rsidRDefault="00A425B2" w:rsidP="00A425B2">
      <w:pPr>
        <w:pStyle w:val="Title"/>
        <w:jc w:val="left"/>
        <w:rPr>
          <w:rFonts w:ascii="Arial" w:hAnsi="Arial" w:cs="Arial"/>
          <w:b w:val="0"/>
          <w:sz w:val="22"/>
          <w:szCs w:val="22"/>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The tablet and smartphone markets are facing some challenges as these devices gain longer life cycles. There has also been a shift as many consumers go from pr</w:t>
      </w:r>
      <w:r w:rsidR="00821D97">
        <w:rPr>
          <w:rFonts w:ascii="Arial" w:hAnsi="Arial" w:cs="Arial"/>
          <w:b w:val="0"/>
          <w:sz w:val="22"/>
          <w:szCs w:val="22"/>
        </w:rPr>
        <w:t xml:space="preserve">emium tablets to basic tablets. </w:t>
      </w:r>
      <w:r>
        <w:rPr>
          <w:rFonts w:ascii="Arial" w:hAnsi="Arial" w:cs="Arial"/>
          <w:b w:val="0"/>
          <w:sz w:val="22"/>
          <w:szCs w:val="22"/>
        </w:rPr>
        <w:t>The share of b</w:t>
      </w:r>
      <w:r w:rsidRPr="00C90CE5">
        <w:rPr>
          <w:rFonts w:ascii="Arial" w:hAnsi="Arial" w:cs="Arial"/>
          <w:b w:val="0"/>
          <w:sz w:val="22"/>
          <w:szCs w:val="22"/>
        </w:rPr>
        <w:t xml:space="preserve">asic tablets </w:t>
      </w:r>
      <w:r>
        <w:rPr>
          <w:rFonts w:ascii="Arial" w:hAnsi="Arial" w:cs="Arial"/>
          <w:b w:val="0"/>
          <w:sz w:val="22"/>
          <w:szCs w:val="22"/>
        </w:rPr>
        <w:t xml:space="preserve">is expected to increase </w:t>
      </w:r>
      <w:r w:rsidRPr="00C90CE5">
        <w:rPr>
          <w:rFonts w:ascii="Arial" w:hAnsi="Arial" w:cs="Arial"/>
          <w:b w:val="0"/>
          <w:sz w:val="22"/>
          <w:szCs w:val="22"/>
        </w:rPr>
        <w:t xml:space="preserve">faster than anticipated, as sales of </w:t>
      </w:r>
      <w:r>
        <w:rPr>
          <w:rFonts w:ascii="Arial" w:hAnsi="Arial" w:cs="Arial"/>
          <w:b w:val="0"/>
          <w:sz w:val="22"/>
          <w:szCs w:val="22"/>
        </w:rPr>
        <w:t xml:space="preserve">the </w:t>
      </w:r>
      <w:r w:rsidRPr="00C90CE5">
        <w:rPr>
          <w:rFonts w:ascii="Arial" w:hAnsi="Arial" w:cs="Arial"/>
          <w:b w:val="0"/>
          <w:sz w:val="22"/>
          <w:szCs w:val="22"/>
        </w:rPr>
        <w:t>iP</w:t>
      </w:r>
      <w:r>
        <w:rPr>
          <w:rFonts w:ascii="Arial" w:hAnsi="Arial" w:cs="Arial"/>
          <w:b w:val="0"/>
          <w:sz w:val="22"/>
          <w:szCs w:val="22"/>
        </w:rPr>
        <w:t xml:space="preserve">ad Mini already represented 60 </w:t>
      </w:r>
      <w:r w:rsidR="00FC4721">
        <w:rPr>
          <w:rFonts w:ascii="Arial" w:hAnsi="Arial" w:cs="Arial"/>
          <w:b w:val="0"/>
          <w:sz w:val="22"/>
          <w:szCs w:val="22"/>
        </w:rPr>
        <w:t>per cent</w:t>
      </w:r>
      <w:r>
        <w:rPr>
          <w:rFonts w:ascii="Arial" w:hAnsi="Arial" w:cs="Arial"/>
          <w:b w:val="0"/>
          <w:sz w:val="22"/>
          <w:szCs w:val="22"/>
        </w:rPr>
        <w:t xml:space="preserve"> of overall iOS sales in the first quarter of 2013</w:t>
      </w:r>
      <w:r w:rsidRPr="00C90CE5">
        <w:rPr>
          <w:rFonts w:ascii="Arial" w:hAnsi="Arial" w:cs="Arial"/>
          <w:b w:val="0"/>
          <w:sz w:val="22"/>
          <w:szCs w:val="22"/>
        </w:rPr>
        <w:t>.</w:t>
      </w:r>
    </w:p>
    <w:p w:rsidR="00A425B2" w:rsidRDefault="00A425B2" w:rsidP="00A425B2">
      <w:pPr>
        <w:pStyle w:val="Title"/>
        <w:jc w:val="left"/>
        <w:rPr>
          <w:rFonts w:ascii="Arial" w:hAnsi="Arial" w:cs="Arial"/>
          <w:b w:val="0"/>
          <w:sz w:val="22"/>
          <w:szCs w:val="22"/>
        </w:rPr>
      </w:pPr>
    </w:p>
    <w:p w:rsidR="00A425B2" w:rsidRDefault="00A425B2" w:rsidP="00A425B2">
      <w:pPr>
        <w:pStyle w:val="Title"/>
        <w:jc w:val="left"/>
        <w:rPr>
          <w:rFonts w:ascii="Arial" w:hAnsi="Arial" w:cs="Arial"/>
          <w:b w:val="0"/>
          <w:sz w:val="22"/>
          <w:szCs w:val="22"/>
        </w:rPr>
      </w:pPr>
      <w:r>
        <w:rPr>
          <w:rFonts w:ascii="Arial" w:hAnsi="Arial" w:cs="Arial"/>
          <w:b w:val="0"/>
          <w:sz w:val="22"/>
          <w:szCs w:val="22"/>
        </w:rPr>
        <w:t>“The increased availability of lower priced basic tablets, plus the value add shifting t</w:t>
      </w:r>
      <w:r w:rsidR="002712EA">
        <w:rPr>
          <w:rFonts w:ascii="Arial" w:hAnsi="Arial" w:cs="Arial"/>
          <w:b w:val="0"/>
          <w:sz w:val="22"/>
          <w:szCs w:val="22"/>
        </w:rPr>
        <w:t>o software rather than hardware</w:t>
      </w:r>
      <w:r>
        <w:rPr>
          <w:rFonts w:ascii="Arial" w:hAnsi="Arial" w:cs="Arial"/>
          <w:b w:val="0"/>
          <w:sz w:val="22"/>
          <w:szCs w:val="22"/>
        </w:rPr>
        <w:t xml:space="preserve"> will result in the lifetimes of premium tablets extending as they remain active in the household for longer. We will also see consumer preferences split between basic tablets and </w:t>
      </w:r>
      <w:proofErr w:type="spellStart"/>
      <w:r>
        <w:rPr>
          <w:rFonts w:ascii="Arial" w:hAnsi="Arial" w:cs="Arial"/>
          <w:b w:val="0"/>
          <w:sz w:val="22"/>
          <w:szCs w:val="22"/>
        </w:rPr>
        <w:t>ultramobile</w:t>
      </w:r>
      <w:proofErr w:type="spellEnd"/>
      <w:r>
        <w:rPr>
          <w:rFonts w:ascii="Arial" w:hAnsi="Arial" w:cs="Arial"/>
          <w:b w:val="0"/>
          <w:sz w:val="22"/>
          <w:szCs w:val="22"/>
        </w:rPr>
        <w:t xml:space="preserve"> devices,” said Ranjit Atwal, research director at Gartner. “With mobile phones, volume expectations for 2013 have been brought down as the life cycles lengthen as consumers wait for new models and lower prices to hit the market in the </w:t>
      </w:r>
      <w:proofErr w:type="gramStart"/>
      <w:r w:rsidR="00EC34BD">
        <w:rPr>
          <w:rFonts w:ascii="Arial" w:hAnsi="Arial" w:cs="Arial"/>
          <w:b w:val="0"/>
          <w:sz w:val="22"/>
          <w:szCs w:val="22"/>
        </w:rPr>
        <w:t>Autumn</w:t>
      </w:r>
      <w:proofErr w:type="gramEnd"/>
      <w:r>
        <w:rPr>
          <w:rFonts w:ascii="Arial" w:hAnsi="Arial" w:cs="Arial"/>
          <w:b w:val="0"/>
          <w:sz w:val="22"/>
          <w:szCs w:val="22"/>
        </w:rPr>
        <w:t xml:space="preserve"> and holiday season. The challenge in the smart</w:t>
      </w:r>
      <w:r w:rsidR="00821D97">
        <w:rPr>
          <w:rFonts w:ascii="Arial" w:hAnsi="Arial" w:cs="Arial"/>
          <w:b w:val="0"/>
          <w:sz w:val="22"/>
          <w:szCs w:val="22"/>
        </w:rPr>
        <w:t xml:space="preserve">phone </w:t>
      </w:r>
      <w:r>
        <w:rPr>
          <w:rFonts w:ascii="Arial" w:hAnsi="Arial" w:cs="Arial"/>
          <w:b w:val="0"/>
          <w:sz w:val="22"/>
          <w:szCs w:val="22"/>
        </w:rPr>
        <w:t xml:space="preserve">market is also that, as penetration moves more and more to the mass market, price points are lowering and in most cases so do margins.” </w:t>
      </w:r>
    </w:p>
    <w:p w:rsidR="00CA4581" w:rsidRDefault="00CA4581" w:rsidP="00A425B2">
      <w:pPr>
        <w:pStyle w:val="Title"/>
        <w:jc w:val="left"/>
        <w:rPr>
          <w:rFonts w:ascii="Arial" w:hAnsi="Arial" w:cs="Arial"/>
          <w:b w:val="0"/>
          <w:sz w:val="22"/>
          <w:szCs w:val="22"/>
        </w:rPr>
      </w:pPr>
    </w:p>
    <w:p w:rsidR="00CA4581" w:rsidRPr="00CA4581" w:rsidRDefault="00CA4581" w:rsidP="00CA4581">
      <w:pPr>
        <w:jc w:val="left"/>
        <w:rPr>
          <w:rFonts w:eastAsia="Times New Roman"/>
          <w:sz w:val="22"/>
          <w:szCs w:val="22"/>
        </w:rPr>
      </w:pPr>
      <w:r>
        <w:rPr>
          <w:rFonts w:eastAsia="Times New Roman"/>
          <w:sz w:val="22"/>
          <w:szCs w:val="22"/>
        </w:rPr>
        <w:t>“</w:t>
      </w:r>
      <w:r w:rsidRPr="00CA4581">
        <w:rPr>
          <w:rFonts w:eastAsia="Times New Roman"/>
          <w:sz w:val="22"/>
          <w:szCs w:val="22"/>
        </w:rPr>
        <w:t>Although the numbers seem to paint a clear picture of who the wi</w:t>
      </w:r>
      <w:r>
        <w:rPr>
          <w:rFonts w:eastAsia="Times New Roman"/>
          <w:sz w:val="22"/>
          <w:szCs w:val="22"/>
        </w:rPr>
        <w:t>nner will be when it comes to operating systems (OS) in the device market</w:t>
      </w:r>
      <w:r w:rsidR="003E0889">
        <w:rPr>
          <w:rFonts w:eastAsia="Times New Roman"/>
          <w:sz w:val="22"/>
          <w:szCs w:val="22"/>
        </w:rPr>
        <w:t xml:space="preserve"> (s</w:t>
      </w:r>
      <w:r>
        <w:rPr>
          <w:rFonts w:eastAsia="Times New Roman"/>
          <w:sz w:val="22"/>
          <w:szCs w:val="22"/>
        </w:rPr>
        <w:t xml:space="preserve">ee Table 2), </w:t>
      </w:r>
      <w:r w:rsidRPr="00CA4581">
        <w:rPr>
          <w:rFonts w:eastAsia="Times New Roman"/>
          <w:sz w:val="22"/>
          <w:szCs w:val="22"/>
        </w:rPr>
        <w:t>the reality is that today ecosystem owners are challenged in having the</w:t>
      </w:r>
      <w:r>
        <w:rPr>
          <w:rFonts w:eastAsia="Times New Roman"/>
          <w:sz w:val="22"/>
          <w:szCs w:val="22"/>
        </w:rPr>
        <w:t xml:space="preserve"> same relevance in all segments,” said Ms. Milanesi.</w:t>
      </w:r>
      <w:r w:rsidRPr="00CA4581">
        <w:rPr>
          <w:rFonts w:eastAsia="Times New Roman"/>
          <w:sz w:val="22"/>
          <w:szCs w:val="22"/>
        </w:rPr>
        <w:t xml:space="preserve"> </w:t>
      </w:r>
      <w:r>
        <w:rPr>
          <w:rFonts w:eastAsia="Times New Roman"/>
          <w:sz w:val="22"/>
          <w:szCs w:val="22"/>
        </w:rPr>
        <w:t>“Apple is</w:t>
      </w:r>
      <w:r w:rsidRPr="00CA4581">
        <w:rPr>
          <w:rFonts w:eastAsia="Times New Roman"/>
          <w:sz w:val="22"/>
          <w:szCs w:val="22"/>
        </w:rPr>
        <w:t xml:space="preserve"> </w:t>
      </w:r>
      <w:r w:rsidR="00457590">
        <w:rPr>
          <w:rFonts w:eastAsia="Times New Roman"/>
          <w:sz w:val="22"/>
          <w:szCs w:val="22"/>
        </w:rPr>
        <w:t xml:space="preserve">currently </w:t>
      </w:r>
      <w:r w:rsidRPr="00CA4581">
        <w:rPr>
          <w:rFonts w:eastAsia="Times New Roman"/>
          <w:sz w:val="22"/>
          <w:szCs w:val="22"/>
        </w:rPr>
        <w:t xml:space="preserve">the </w:t>
      </w:r>
      <w:r w:rsidR="00457590">
        <w:rPr>
          <w:rFonts w:eastAsia="Times New Roman"/>
          <w:sz w:val="22"/>
          <w:szCs w:val="22"/>
        </w:rPr>
        <w:t xml:space="preserve">more homogeneous presence </w:t>
      </w:r>
      <w:r w:rsidRPr="00CA4581">
        <w:rPr>
          <w:rFonts w:eastAsia="Times New Roman"/>
          <w:sz w:val="22"/>
          <w:szCs w:val="22"/>
        </w:rPr>
        <w:t xml:space="preserve">across </w:t>
      </w:r>
      <w:r>
        <w:rPr>
          <w:rFonts w:eastAsia="Times New Roman"/>
          <w:sz w:val="22"/>
          <w:szCs w:val="22"/>
        </w:rPr>
        <w:t xml:space="preserve">all device segments, while 90 </w:t>
      </w:r>
      <w:r w:rsidR="00FC4721">
        <w:rPr>
          <w:rFonts w:eastAsia="Times New Roman"/>
          <w:sz w:val="22"/>
          <w:szCs w:val="22"/>
        </w:rPr>
        <w:t>per cent</w:t>
      </w:r>
      <w:r>
        <w:rPr>
          <w:rFonts w:eastAsia="Times New Roman"/>
          <w:sz w:val="22"/>
          <w:szCs w:val="22"/>
        </w:rPr>
        <w:t xml:space="preserve"> of Android sales </w:t>
      </w:r>
      <w:r w:rsidRPr="00CA4581">
        <w:rPr>
          <w:rFonts w:eastAsia="Times New Roman"/>
          <w:sz w:val="22"/>
          <w:szCs w:val="22"/>
        </w:rPr>
        <w:t xml:space="preserve">are </w:t>
      </w:r>
      <w:r>
        <w:rPr>
          <w:rFonts w:eastAsia="Times New Roman"/>
          <w:sz w:val="22"/>
          <w:szCs w:val="22"/>
        </w:rPr>
        <w:t xml:space="preserve">currently </w:t>
      </w:r>
      <w:r w:rsidRPr="00CA4581">
        <w:rPr>
          <w:rFonts w:eastAsia="Times New Roman"/>
          <w:sz w:val="22"/>
          <w:szCs w:val="22"/>
        </w:rPr>
        <w:t xml:space="preserve">in the </w:t>
      </w:r>
      <w:r>
        <w:rPr>
          <w:rFonts w:eastAsia="Times New Roman"/>
          <w:sz w:val="22"/>
          <w:szCs w:val="22"/>
        </w:rPr>
        <w:t xml:space="preserve">mobile phone market and 85 </w:t>
      </w:r>
      <w:r w:rsidR="00FC4721">
        <w:rPr>
          <w:rFonts w:eastAsia="Times New Roman"/>
          <w:sz w:val="22"/>
          <w:szCs w:val="22"/>
        </w:rPr>
        <w:t>per cent</w:t>
      </w:r>
      <w:r w:rsidRPr="00CA4581">
        <w:rPr>
          <w:rFonts w:eastAsia="Times New Roman"/>
          <w:sz w:val="22"/>
          <w:szCs w:val="22"/>
        </w:rPr>
        <w:t xml:space="preserve"> of Micros</w:t>
      </w:r>
      <w:r>
        <w:rPr>
          <w:rFonts w:eastAsia="Times New Roman"/>
          <w:sz w:val="22"/>
          <w:szCs w:val="22"/>
        </w:rPr>
        <w:t>oft sales are in the PC market.”</w:t>
      </w:r>
    </w:p>
    <w:p w:rsidR="00A425B2" w:rsidRDefault="00A425B2" w:rsidP="00A425B2">
      <w:pPr>
        <w:pStyle w:val="Title"/>
        <w:jc w:val="left"/>
        <w:rPr>
          <w:rFonts w:ascii="Arial" w:hAnsi="Arial" w:cs="Arial"/>
          <w:b w:val="0"/>
          <w:sz w:val="22"/>
          <w:szCs w:val="22"/>
        </w:rPr>
      </w:pPr>
    </w:p>
    <w:p w:rsidR="00A425B2" w:rsidRPr="00E85907" w:rsidRDefault="00A425B2" w:rsidP="00A425B2">
      <w:pPr>
        <w:pStyle w:val="ListBullet"/>
        <w:spacing w:before="0"/>
        <w:ind w:left="0" w:firstLine="0"/>
        <w:rPr>
          <w:rFonts w:cs="Arial"/>
          <w:b/>
          <w:sz w:val="22"/>
          <w:szCs w:val="22"/>
        </w:rPr>
      </w:pPr>
      <w:r>
        <w:rPr>
          <w:rFonts w:cs="Arial"/>
          <w:b/>
          <w:sz w:val="22"/>
          <w:szCs w:val="22"/>
        </w:rPr>
        <w:t>Table 2</w:t>
      </w:r>
    </w:p>
    <w:p w:rsidR="00A425B2" w:rsidRDefault="00A425B2" w:rsidP="00A425B2">
      <w:pPr>
        <w:rPr>
          <w:rFonts w:cs="Arial"/>
          <w:sz w:val="22"/>
          <w:szCs w:val="22"/>
        </w:rPr>
      </w:pPr>
      <w:r w:rsidRPr="00B61888">
        <w:rPr>
          <w:b/>
          <w:bCs/>
          <w:sz w:val="22"/>
          <w:szCs w:val="22"/>
        </w:rPr>
        <w:t xml:space="preserve">Worldwide </w:t>
      </w:r>
      <w:r>
        <w:rPr>
          <w:b/>
          <w:bCs/>
          <w:sz w:val="22"/>
          <w:szCs w:val="22"/>
        </w:rPr>
        <w:t xml:space="preserve">Devices Shipments by Operating System </w:t>
      </w:r>
      <w:r w:rsidRPr="00B61888">
        <w:rPr>
          <w:b/>
          <w:bCs/>
          <w:sz w:val="22"/>
          <w:szCs w:val="22"/>
        </w:rPr>
        <w:t>(</w:t>
      </w:r>
      <w:r w:rsidR="00D60018">
        <w:rPr>
          <w:b/>
          <w:bCs/>
          <w:sz w:val="22"/>
          <w:szCs w:val="22"/>
        </w:rPr>
        <w:t>Thousands</w:t>
      </w:r>
      <w:r>
        <w:rPr>
          <w:b/>
          <w:bCs/>
          <w:sz w:val="22"/>
          <w:szCs w:val="22"/>
        </w:rPr>
        <w:t xml:space="preserve"> of Units</w:t>
      </w:r>
      <w:r w:rsidRPr="00B61888">
        <w:rPr>
          <w:b/>
          <w:bCs/>
          <w:sz w:val="22"/>
          <w:szCs w:val="22"/>
        </w:rPr>
        <w:t xml:space="preserve">) </w:t>
      </w:r>
    </w:p>
    <w:tbl>
      <w:tblPr>
        <w:tblW w:w="4160" w:type="pct"/>
        <w:tblBorders>
          <w:top w:val="single" w:sz="6" w:space="0" w:color="auto"/>
          <w:left w:val="single" w:sz="6" w:space="0" w:color="auto"/>
          <w:bottom w:val="single" w:sz="6" w:space="0" w:color="auto"/>
          <w:right w:val="single" w:sz="6" w:space="0" w:color="auto"/>
        </w:tblBorders>
        <w:tblLook w:val="0000"/>
      </w:tblPr>
      <w:tblGrid>
        <w:gridCol w:w="3730"/>
        <w:gridCol w:w="1695"/>
        <w:gridCol w:w="1781"/>
        <w:gridCol w:w="1612"/>
      </w:tblGrid>
      <w:tr w:rsidR="00A425B2" w:rsidTr="00D0614C">
        <w:tc>
          <w:tcPr>
            <w:tcW w:w="2115" w:type="pct"/>
            <w:tcBorders>
              <w:top w:val="single" w:sz="6" w:space="0" w:color="auto"/>
              <w:bottom w:val="single" w:sz="6" w:space="0" w:color="auto"/>
            </w:tcBorders>
          </w:tcPr>
          <w:p w:rsidR="00A425B2" w:rsidRPr="00591FB0" w:rsidRDefault="00A425B2" w:rsidP="00D0614C">
            <w:pPr>
              <w:pStyle w:val="HeadingJustified"/>
              <w:tabs>
                <w:tab w:val="decimal" w:pos="990"/>
                <w:tab w:val="decimal" w:pos="2070"/>
                <w:tab w:val="left" w:pos="2880"/>
                <w:tab w:val="decimal" w:pos="4140"/>
                <w:tab w:val="decimal" w:pos="4860"/>
                <w:tab w:val="decimal" w:pos="7020"/>
                <w:tab w:val="decimal" w:pos="7110"/>
              </w:tabs>
            </w:pPr>
            <w:r w:rsidRPr="00591FB0">
              <w:t>Operating System</w:t>
            </w:r>
          </w:p>
        </w:tc>
        <w:tc>
          <w:tcPr>
            <w:tcW w:w="961"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2012</w:t>
            </w:r>
          </w:p>
        </w:tc>
        <w:tc>
          <w:tcPr>
            <w:tcW w:w="1010"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2013</w:t>
            </w:r>
          </w:p>
        </w:tc>
        <w:tc>
          <w:tcPr>
            <w:tcW w:w="914" w:type="pct"/>
            <w:tcBorders>
              <w:top w:val="single" w:sz="6" w:space="0" w:color="auto"/>
              <w:bottom w:val="single" w:sz="6" w:space="0" w:color="auto"/>
            </w:tcBorders>
          </w:tcPr>
          <w:p w:rsidR="00A425B2" w:rsidRDefault="00A425B2" w:rsidP="00D0614C">
            <w:pPr>
              <w:tabs>
                <w:tab w:val="decimal" w:pos="990"/>
                <w:tab w:val="decimal" w:pos="2070"/>
                <w:tab w:val="left" w:pos="2880"/>
                <w:tab w:val="decimal" w:pos="4140"/>
                <w:tab w:val="decimal" w:pos="4860"/>
                <w:tab w:val="decimal" w:pos="7020"/>
                <w:tab w:val="decimal" w:pos="7110"/>
              </w:tabs>
              <w:jc w:val="right"/>
              <w:rPr>
                <w:b/>
              </w:rPr>
            </w:pPr>
            <w:r>
              <w:rPr>
                <w:b/>
              </w:rPr>
              <w:t>2014</w:t>
            </w:r>
          </w:p>
        </w:tc>
      </w:tr>
      <w:tr w:rsidR="00591FB0" w:rsidRPr="00C65AAB" w:rsidTr="00D0614C">
        <w:tc>
          <w:tcPr>
            <w:tcW w:w="2115" w:type="pct"/>
            <w:tcBorders>
              <w:top w:val="nil"/>
            </w:tcBorders>
            <w:vAlign w:val="bottom"/>
          </w:tcPr>
          <w:p w:rsidR="00591FB0" w:rsidRPr="00591FB0" w:rsidRDefault="00591FB0" w:rsidP="00D0614C">
            <w:pPr>
              <w:rPr>
                <w:rFonts w:cs="Arial"/>
                <w:color w:val="000000"/>
              </w:rPr>
            </w:pPr>
            <w:r w:rsidRPr="00591FB0">
              <w:rPr>
                <w:rFonts w:cs="Arial"/>
                <w:color w:val="000000"/>
              </w:rPr>
              <w:t>Android</w:t>
            </w:r>
          </w:p>
        </w:tc>
        <w:tc>
          <w:tcPr>
            <w:tcW w:w="961" w:type="pct"/>
            <w:tcBorders>
              <w:top w:val="nil"/>
            </w:tcBorders>
            <w:vAlign w:val="bottom"/>
          </w:tcPr>
          <w:p w:rsidR="00591FB0" w:rsidRPr="00591FB0" w:rsidRDefault="00591FB0" w:rsidP="0054111B">
            <w:pPr>
              <w:jc w:val="right"/>
              <w:rPr>
                <w:rFonts w:eastAsia="Times New Roman" w:cs="Arial"/>
              </w:rPr>
            </w:pPr>
            <w:r w:rsidRPr="00591FB0">
              <w:rPr>
                <w:rFonts w:eastAsia="Times New Roman" w:cs="Arial"/>
              </w:rPr>
              <w:t>505,509</w:t>
            </w:r>
          </w:p>
        </w:tc>
        <w:tc>
          <w:tcPr>
            <w:tcW w:w="1010" w:type="pct"/>
            <w:tcBorders>
              <w:top w:val="nil"/>
            </w:tcBorders>
            <w:vAlign w:val="bottom"/>
          </w:tcPr>
          <w:p w:rsidR="00591FB0" w:rsidRPr="00591FB0" w:rsidRDefault="00591FB0" w:rsidP="0054111B">
            <w:pPr>
              <w:jc w:val="right"/>
              <w:rPr>
                <w:rFonts w:eastAsia="Times New Roman" w:cs="Arial"/>
              </w:rPr>
            </w:pPr>
            <w:r w:rsidRPr="00591FB0">
              <w:rPr>
                <w:rFonts w:eastAsia="Times New Roman" w:cs="Arial"/>
              </w:rPr>
              <w:t>866,781</w:t>
            </w:r>
          </w:p>
        </w:tc>
        <w:tc>
          <w:tcPr>
            <w:tcW w:w="914" w:type="pct"/>
            <w:tcBorders>
              <w:top w:val="nil"/>
            </w:tcBorders>
            <w:vAlign w:val="bottom"/>
          </w:tcPr>
          <w:p w:rsidR="00591FB0" w:rsidRPr="00591FB0" w:rsidRDefault="00591FB0" w:rsidP="0054111B">
            <w:pPr>
              <w:jc w:val="right"/>
              <w:rPr>
                <w:rFonts w:eastAsia="Times New Roman" w:cs="Arial"/>
              </w:rPr>
            </w:pPr>
            <w:r w:rsidRPr="00591FB0">
              <w:rPr>
                <w:rFonts w:eastAsia="Times New Roman" w:cs="Arial"/>
              </w:rPr>
              <w:t>1,061,270</w:t>
            </w:r>
          </w:p>
        </w:tc>
      </w:tr>
      <w:tr w:rsidR="00591FB0" w:rsidRPr="00C65AAB" w:rsidTr="00D0614C">
        <w:tc>
          <w:tcPr>
            <w:tcW w:w="2115" w:type="pct"/>
            <w:vAlign w:val="bottom"/>
          </w:tcPr>
          <w:p w:rsidR="00591FB0" w:rsidRPr="00591FB0" w:rsidRDefault="00591FB0" w:rsidP="00D0614C">
            <w:pPr>
              <w:rPr>
                <w:rFonts w:cs="Arial"/>
                <w:color w:val="000000"/>
              </w:rPr>
            </w:pPr>
            <w:r w:rsidRPr="00591FB0">
              <w:rPr>
                <w:rFonts w:cs="Arial"/>
                <w:color w:val="000000"/>
              </w:rPr>
              <w:t>Windows</w:t>
            </w:r>
          </w:p>
        </w:tc>
        <w:tc>
          <w:tcPr>
            <w:tcW w:w="961" w:type="pct"/>
            <w:vAlign w:val="bottom"/>
          </w:tcPr>
          <w:p w:rsidR="00591FB0" w:rsidRPr="00591FB0" w:rsidRDefault="00591FB0" w:rsidP="0054111B">
            <w:pPr>
              <w:jc w:val="right"/>
              <w:rPr>
                <w:rFonts w:eastAsia="Times New Roman" w:cs="Arial"/>
              </w:rPr>
            </w:pPr>
            <w:r w:rsidRPr="00591FB0">
              <w:rPr>
                <w:rFonts w:eastAsia="Times New Roman" w:cs="Arial"/>
              </w:rPr>
              <w:t>346,464</w:t>
            </w:r>
          </w:p>
        </w:tc>
        <w:tc>
          <w:tcPr>
            <w:tcW w:w="1010" w:type="pct"/>
            <w:vAlign w:val="bottom"/>
          </w:tcPr>
          <w:p w:rsidR="00591FB0" w:rsidRPr="00591FB0" w:rsidRDefault="00591FB0" w:rsidP="0054111B">
            <w:pPr>
              <w:jc w:val="right"/>
              <w:rPr>
                <w:rFonts w:eastAsia="Times New Roman" w:cs="Arial"/>
              </w:rPr>
            </w:pPr>
            <w:r w:rsidRPr="00591FB0">
              <w:rPr>
                <w:rFonts w:eastAsia="Times New Roman" w:cs="Arial"/>
              </w:rPr>
              <w:t>339,545</w:t>
            </w:r>
          </w:p>
        </w:tc>
        <w:tc>
          <w:tcPr>
            <w:tcW w:w="914" w:type="pct"/>
            <w:vAlign w:val="bottom"/>
          </w:tcPr>
          <w:p w:rsidR="00591FB0" w:rsidRPr="00591FB0" w:rsidRDefault="00591FB0" w:rsidP="0054111B">
            <w:pPr>
              <w:jc w:val="right"/>
              <w:rPr>
                <w:rFonts w:eastAsia="Times New Roman" w:cs="Arial"/>
              </w:rPr>
            </w:pPr>
            <w:r w:rsidRPr="00591FB0">
              <w:rPr>
                <w:rFonts w:eastAsia="Times New Roman" w:cs="Arial"/>
              </w:rPr>
              <w:t>378,142</w:t>
            </w:r>
          </w:p>
        </w:tc>
      </w:tr>
      <w:tr w:rsidR="00591FB0" w:rsidRPr="00C65AAB" w:rsidTr="00D0614C">
        <w:tc>
          <w:tcPr>
            <w:tcW w:w="2115" w:type="pct"/>
            <w:vAlign w:val="bottom"/>
          </w:tcPr>
          <w:p w:rsidR="00591FB0" w:rsidRPr="00591FB0" w:rsidRDefault="00591FB0" w:rsidP="00D0614C">
            <w:pPr>
              <w:rPr>
                <w:rFonts w:cs="Arial"/>
                <w:color w:val="000000"/>
              </w:rPr>
            </w:pPr>
            <w:r w:rsidRPr="00591FB0">
              <w:rPr>
                <w:rFonts w:cs="Arial"/>
                <w:color w:val="000000"/>
              </w:rPr>
              <w:t>iOS/MacOS</w:t>
            </w:r>
          </w:p>
        </w:tc>
        <w:tc>
          <w:tcPr>
            <w:tcW w:w="961" w:type="pct"/>
            <w:vAlign w:val="bottom"/>
          </w:tcPr>
          <w:p w:rsidR="00591FB0" w:rsidRPr="00591FB0" w:rsidRDefault="00591FB0" w:rsidP="0054111B">
            <w:pPr>
              <w:jc w:val="right"/>
              <w:rPr>
                <w:rFonts w:eastAsia="Times New Roman" w:cs="Arial"/>
              </w:rPr>
            </w:pPr>
            <w:r w:rsidRPr="00591FB0">
              <w:rPr>
                <w:rFonts w:eastAsia="Times New Roman" w:cs="Arial"/>
              </w:rPr>
              <w:t>212,878</w:t>
            </w:r>
          </w:p>
        </w:tc>
        <w:tc>
          <w:tcPr>
            <w:tcW w:w="1010" w:type="pct"/>
            <w:vAlign w:val="bottom"/>
          </w:tcPr>
          <w:p w:rsidR="00591FB0" w:rsidRPr="00591FB0" w:rsidRDefault="00591FB0" w:rsidP="0054111B">
            <w:pPr>
              <w:jc w:val="right"/>
              <w:rPr>
                <w:rFonts w:eastAsia="Times New Roman" w:cs="Arial"/>
              </w:rPr>
            </w:pPr>
            <w:r w:rsidRPr="00591FB0">
              <w:rPr>
                <w:rFonts w:eastAsia="Times New Roman" w:cs="Arial"/>
              </w:rPr>
              <w:t>296,356</w:t>
            </w:r>
          </w:p>
        </w:tc>
        <w:tc>
          <w:tcPr>
            <w:tcW w:w="914" w:type="pct"/>
            <w:vAlign w:val="bottom"/>
          </w:tcPr>
          <w:p w:rsidR="00591FB0" w:rsidRPr="00591FB0" w:rsidRDefault="00591FB0" w:rsidP="0054111B">
            <w:pPr>
              <w:jc w:val="right"/>
              <w:rPr>
                <w:rFonts w:eastAsia="Times New Roman" w:cs="Arial"/>
              </w:rPr>
            </w:pPr>
            <w:r w:rsidRPr="00591FB0">
              <w:rPr>
                <w:rFonts w:eastAsia="Times New Roman" w:cs="Arial"/>
              </w:rPr>
              <w:t>354,849</w:t>
            </w:r>
          </w:p>
        </w:tc>
      </w:tr>
      <w:tr w:rsidR="00591FB0" w:rsidRPr="00C65AAB" w:rsidTr="00D0614C">
        <w:tc>
          <w:tcPr>
            <w:tcW w:w="2115" w:type="pct"/>
            <w:vAlign w:val="bottom"/>
          </w:tcPr>
          <w:p w:rsidR="00591FB0" w:rsidRPr="00591FB0" w:rsidRDefault="00591FB0" w:rsidP="00D0614C">
            <w:pPr>
              <w:rPr>
                <w:rFonts w:cs="Arial"/>
                <w:color w:val="000000"/>
              </w:rPr>
            </w:pPr>
            <w:r w:rsidRPr="00591FB0">
              <w:rPr>
                <w:rFonts w:cs="Arial"/>
                <w:color w:val="000000"/>
              </w:rPr>
              <w:t>RIM</w:t>
            </w:r>
          </w:p>
        </w:tc>
        <w:tc>
          <w:tcPr>
            <w:tcW w:w="961" w:type="pct"/>
            <w:vAlign w:val="bottom"/>
          </w:tcPr>
          <w:p w:rsidR="00591FB0" w:rsidRPr="00591FB0" w:rsidRDefault="00591FB0" w:rsidP="0054111B">
            <w:pPr>
              <w:jc w:val="right"/>
              <w:rPr>
                <w:rFonts w:eastAsia="Times New Roman" w:cs="Arial"/>
              </w:rPr>
            </w:pPr>
            <w:r w:rsidRPr="00591FB0">
              <w:rPr>
                <w:rFonts w:eastAsia="Times New Roman" w:cs="Arial"/>
              </w:rPr>
              <w:t>34,584</w:t>
            </w:r>
          </w:p>
        </w:tc>
        <w:tc>
          <w:tcPr>
            <w:tcW w:w="1010" w:type="pct"/>
            <w:vAlign w:val="bottom"/>
          </w:tcPr>
          <w:p w:rsidR="00591FB0" w:rsidRPr="00591FB0" w:rsidRDefault="00591FB0" w:rsidP="0054111B">
            <w:pPr>
              <w:jc w:val="right"/>
              <w:rPr>
                <w:rFonts w:eastAsia="Times New Roman" w:cs="Arial"/>
              </w:rPr>
            </w:pPr>
            <w:r w:rsidRPr="00591FB0">
              <w:rPr>
                <w:rFonts w:eastAsia="Times New Roman" w:cs="Arial"/>
              </w:rPr>
              <w:t>25,224</w:t>
            </w:r>
          </w:p>
        </w:tc>
        <w:tc>
          <w:tcPr>
            <w:tcW w:w="914" w:type="pct"/>
            <w:vAlign w:val="bottom"/>
          </w:tcPr>
          <w:p w:rsidR="00591FB0" w:rsidRPr="00591FB0" w:rsidRDefault="00591FB0" w:rsidP="0054111B">
            <w:pPr>
              <w:jc w:val="right"/>
              <w:rPr>
                <w:rFonts w:eastAsia="Times New Roman" w:cs="Arial"/>
              </w:rPr>
            </w:pPr>
            <w:r w:rsidRPr="00591FB0">
              <w:rPr>
                <w:rFonts w:eastAsia="Times New Roman" w:cs="Arial"/>
              </w:rPr>
              <w:t>22,291</w:t>
            </w:r>
          </w:p>
        </w:tc>
      </w:tr>
      <w:tr w:rsidR="00591FB0" w:rsidRPr="007A15A5" w:rsidTr="00D0614C">
        <w:tc>
          <w:tcPr>
            <w:tcW w:w="2115" w:type="pct"/>
            <w:vAlign w:val="bottom"/>
          </w:tcPr>
          <w:p w:rsidR="00591FB0" w:rsidRPr="00591FB0" w:rsidRDefault="00591FB0" w:rsidP="00D0614C">
            <w:pPr>
              <w:rPr>
                <w:rFonts w:cs="Arial"/>
                <w:color w:val="000000"/>
              </w:rPr>
            </w:pPr>
            <w:r w:rsidRPr="00591FB0">
              <w:rPr>
                <w:rFonts w:cs="Arial"/>
                <w:color w:val="000000"/>
              </w:rPr>
              <w:t>Others</w:t>
            </w:r>
          </w:p>
        </w:tc>
        <w:tc>
          <w:tcPr>
            <w:tcW w:w="961" w:type="pct"/>
            <w:vAlign w:val="bottom"/>
          </w:tcPr>
          <w:p w:rsidR="00591FB0" w:rsidRPr="00591FB0" w:rsidRDefault="00591FB0" w:rsidP="0054111B">
            <w:pPr>
              <w:jc w:val="right"/>
              <w:rPr>
                <w:rFonts w:eastAsia="Times New Roman" w:cs="Arial"/>
              </w:rPr>
            </w:pPr>
            <w:r w:rsidRPr="00591FB0">
              <w:rPr>
                <w:rFonts w:eastAsia="Times New Roman" w:cs="Arial"/>
              </w:rPr>
              <w:t>1,118,004</w:t>
            </w:r>
          </w:p>
        </w:tc>
        <w:tc>
          <w:tcPr>
            <w:tcW w:w="1010" w:type="pct"/>
            <w:vAlign w:val="bottom"/>
          </w:tcPr>
          <w:p w:rsidR="00591FB0" w:rsidRPr="00591FB0" w:rsidRDefault="00591FB0" w:rsidP="0054111B">
            <w:pPr>
              <w:jc w:val="right"/>
              <w:rPr>
                <w:rFonts w:eastAsia="Times New Roman" w:cs="Arial"/>
              </w:rPr>
            </w:pPr>
            <w:r w:rsidRPr="00591FB0">
              <w:rPr>
                <w:rFonts w:eastAsia="Times New Roman" w:cs="Arial"/>
              </w:rPr>
              <w:t>820,592</w:t>
            </w:r>
          </w:p>
        </w:tc>
        <w:tc>
          <w:tcPr>
            <w:tcW w:w="914" w:type="pct"/>
            <w:vAlign w:val="bottom"/>
          </w:tcPr>
          <w:p w:rsidR="00591FB0" w:rsidRPr="00591FB0" w:rsidRDefault="00591FB0" w:rsidP="0054111B">
            <w:pPr>
              <w:jc w:val="right"/>
              <w:rPr>
                <w:rFonts w:eastAsia="Times New Roman" w:cs="Arial"/>
              </w:rPr>
            </w:pPr>
            <w:r w:rsidRPr="00591FB0">
              <w:rPr>
                <w:rFonts w:eastAsia="Times New Roman" w:cs="Arial"/>
              </w:rPr>
              <w:t>689,877</w:t>
            </w:r>
          </w:p>
        </w:tc>
      </w:tr>
      <w:tr w:rsidR="00591FB0" w:rsidRPr="007A15A5" w:rsidTr="00D0614C">
        <w:tc>
          <w:tcPr>
            <w:tcW w:w="2115" w:type="pct"/>
            <w:vAlign w:val="bottom"/>
          </w:tcPr>
          <w:p w:rsidR="00591FB0" w:rsidRPr="00591FB0" w:rsidRDefault="00591FB0" w:rsidP="00D0614C">
            <w:pPr>
              <w:rPr>
                <w:rFonts w:cs="Arial"/>
                <w:color w:val="000000"/>
              </w:rPr>
            </w:pPr>
            <w:r w:rsidRPr="00591FB0">
              <w:rPr>
                <w:rFonts w:cs="Arial"/>
                <w:color w:val="000000"/>
              </w:rPr>
              <w:t>Total</w:t>
            </w:r>
          </w:p>
        </w:tc>
        <w:tc>
          <w:tcPr>
            <w:tcW w:w="961" w:type="pct"/>
            <w:vAlign w:val="bottom"/>
          </w:tcPr>
          <w:p w:rsidR="00591FB0" w:rsidRPr="00591FB0" w:rsidRDefault="00591FB0" w:rsidP="0054111B">
            <w:pPr>
              <w:jc w:val="right"/>
              <w:rPr>
                <w:rFonts w:eastAsia="Times New Roman" w:cs="Arial"/>
                <w:b/>
              </w:rPr>
            </w:pPr>
            <w:r w:rsidRPr="00591FB0">
              <w:rPr>
                <w:rFonts w:eastAsia="Times New Roman" w:cs="Arial"/>
                <w:b/>
              </w:rPr>
              <w:t>2,217,440</w:t>
            </w:r>
          </w:p>
        </w:tc>
        <w:tc>
          <w:tcPr>
            <w:tcW w:w="1010" w:type="pct"/>
            <w:vAlign w:val="bottom"/>
          </w:tcPr>
          <w:p w:rsidR="00591FB0" w:rsidRPr="00591FB0" w:rsidRDefault="00591FB0" w:rsidP="0054111B">
            <w:pPr>
              <w:jc w:val="right"/>
              <w:rPr>
                <w:rFonts w:eastAsia="Times New Roman" w:cs="Arial"/>
                <w:b/>
              </w:rPr>
            </w:pPr>
            <w:r w:rsidRPr="00591FB0">
              <w:rPr>
                <w:rFonts w:eastAsia="Times New Roman" w:cs="Arial"/>
                <w:b/>
              </w:rPr>
              <w:t>2,348,497</w:t>
            </w:r>
          </w:p>
        </w:tc>
        <w:tc>
          <w:tcPr>
            <w:tcW w:w="914" w:type="pct"/>
            <w:vAlign w:val="bottom"/>
          </w:tcPr>
          <w:p w:rsidR="00591FB0" w:rsidRPr="00591FB0" w:rsidRDefault="00591FB0" w:rsidP="0054111B">
            <w:pPr>
              <w:jc w:val="right"/>
              <w:rPr>
                <w:rFonts w:eastAsia="Times New Roman" w:cs="Arial"/>
                <w:b/>
              </w:rPr>
            </w:pPr>
            <w:r w:rsidRPr="00591FB0">
              <w:rPr>
                <w:rFonts w:eastAsia="Times New Roman" w:cs="Arial"/>
                <w:b/>
              </w:rPr>
              <w:t>2,506,429</w:t>
            </w:r>
          </w:p>
        </w:tc>
      </w:tr>
    </w:tbl>
    <w:p w:rsidR="00A425B2" w:rsidRDefault="00A425B2" w:rsidP="00A425B2">
      <w:pPr>
        <w:pStyle w:val="Title"/>
        <w:jc w:val="left"/>
        <w:rPr>
          <w:rFonts w:ascii="Arial" w:hAnsi="Arial" w:cs="Arial"/>
          <w:b w:val="0"/>
          <w:color w:val="000000"/>
          <w:sz w:val="20"/>
          <w:lang w:val="en-GB"/>
        </w:rPr>
      </w:pPr>
      <w:r w:rsidRPr="00220E73">
        <w:rPr>
          <w:rFonts w:ascii="Arial" w:hAnsi="Arial" w:cs="Arial"/>
          <w:b w:val="0"/>
          <w:color w:val="000000"/>
          <w:sz w:val="20"/>
          <w:lang w:val="en-GB"/>
        </w:rPr>
        <w:t>Source: Gartner (June 2013)</w:t>
      </w:r>
    </w:p>
    <w:p w:rsidR="00CA4581" w:rsidRDefault="00CA4581" w:rsidP="00CA4581">
      <w:pPr>
        <w:rPr>
          <w:rFonts w:eastAsia="Times New Roman"/>
          <w:sz w:val="22"/>
          <w:szCs w:val="22"/>
        </w:rPr>
      </w:pPr>
    </w:p>
    <w:p w:rsidR="00CA4581" w:rsidRDefault="00CA4581" w:rsidP="00CA4581">
      <w:pPr>
        <w:jc w:val="left"/>
        <w:rPr>
          <w:rFonts w:cs="Arial"/>
          <w:b/>
          <w:sz w:val="22"/>
          <w:szCs w:val="22"/>
        </w:rPr>
      </w:pPr>
      <w:r>
        <w:rPr>
          <w:rFonts w:eastAsia="Times New Roman"/>
          <w:sz w:val="22"/>
          <w:szCs w:val="22"/>
        </w:rPr>
        <w:t>Additional</w:t>
      </w:r>
      <w:r w:rsidR="009040A8">
        <w:rPr>
          <w:rFonts w:eastAsia="Times New Roman"/>
          <w:sz w:val="22"/>
          <w:szCs w:val="22"/>
        </w:rPr>
        <w:t>l</w:t>
      </w:r>
      <w:r w:rsidR="00C6779E">
        <w:rPr>
          <w:rFonts w:eastAsia="Times New Roman"/>
          <w:sz w:val="22"/>
          <w:szCs w:val="22"/>
        </w:rPr>
        <w:t>y</w:t>
      </w:r>
      <w:r>
        <w:rPr>
          <w:rFonts w:eastAsia="Times New Roman"/>
          <w:sz w:val="22"/>
          <w:szCs w:val="22"/>
        </w:rPr>
        <w:t>, w</w:t>
      </w:r>
      <w:r w:rsidRPr="00CA4581">
        <w:rPr>
          <w:rFonts w:eastAsia="Times New Roman"/>
          <w:sz w:val="22"/>
          <w:szCs w:val="22"/>
        </w:rPr>
        <w:t>ith enterprises</w:t>
      </w:r>
      <w:r w:rsidR="002712EA">
        <w:rPr>
          <w:rFonts w:eastAsia="Times New Roman"/>
          <w:sz w:val="22"/>
          <w:szCs w:val="22"/>
        </w:rPr>
        <w:t>’</w:t>
      </w:r>
      <w:r w:rsidRPr="00CA4581">
        <w:rPr>
          <w:rFonts w:eastAsia="Times New Roman"/>
          <w:sz w:val="22"/>
          <w:szCs w:val="22"/>
        </w:rPr>
        <w:t xml:space="preserve"> growing acceptance of </w:t>
      </w:r>
      <w:r>
        <w:rPr>
          <w:rFonts w:eastAsia="Times New Roman"/>
          <w:sz w:val="22"/>
          <w:szCs w:val="22"/>
        </w:rPr>
        <w:t>bring your own device (</w:t>
      </w:r>
      <w:r w:rsidRPr="00CA4581">
        <w:rPr>
          <w:rFonts w:eastAsia="Times New Roman"/>
          <w:sz w:val="22"/>
          <w:szCs w:val="22"/>
        </w:rPr>
        <w:t>BYOD</w:t>
      </w:r>
      <w:r>
        <w:rPr>
          <w:rFonts w:eastAsia="Times New Roman"/>
          <w:sz w:val="22"/>
          <w:szCs w:val="22"/>
        </w:rPr>
        <w:t>)</w:t>
      </w:r>
      <w:proofErr w:type="gramStart"/>
      <w:r>
        <w:rPr>
          <w:rFonts w:eastAsia="Times New Roman"/>
          <w:sz w:val="22"/>
          <w:szCs w:val="22"/>
        </w:rPr>
        <w:t>,</w:t>
      </w:r>
      <w:proofErr w:type="gramEnd"/>
      <w:r w:rsidRPr="00CA4581">
        <w:rPr>
          <w:rFonts w:eastAsia="Times New Roman"/>
          <w:sz w:val="22"/>
          <w:szCs w:val="22"/>
        </w:rPr>
        <w:t xml:space="preserve"> </w:t>
      </w:r>
      <w:r>
        <w:rPr>
          <w:rFonts w:eastAsia="Times New Roman"/>
          <w:sz w:val="22"/>
          <w:szCs w:val="22"/>
        </w:rPr>
        <w:t>there is an</w:t>
      </w:r>
      <w:r w:rsidRPr="00CA4581">
        <w:rPr>
          <w:rFonts w:eastAsia="Times New Roman"/>
          <w:sz w:val="22"/>
          <w:szCs w:val="22"/>
        </w:rPr>
        <w:t xml:space="preserve"> increase in consumer-owned devices in the computing world. </w:t>
      </w:r>
      <w:r>
        <w:rPr>
          <w:rFonts w:eastAsia="Times New Roman"/>
          <w:sz w:val="22"/>
          <w:szCs w:val="22"/>
        </w:rPr>
        <w:t>Gartner forecasts that c</w:t>
      </w:r>
      <w:r w:rsidRPr="00CA4581">
        <w:rPr>
          <w:rFonts w:eastAsia="Times New Roman"/>
          <w:sz w:val="22"/>
          <w:szCs w:val="22"/>
        </w:rPr>
        <w:t>omputing devices bought</w:t>
      </w:r>
      <w:r>
        <w:rPr>
          <w:rFonts w:eastAsia="Times New Roman"/>
          <w:sz w:val="22"/>
          <w:szCs w:val="22"/>
        </w:rPr>
        <w:t xml:space="preserve"> by consumers will grow from 65 </w:t>
      </w:r>
      <w:r w:rsidR="00FC4721">
        <w:rPr>
          <w:rFonts w:eastAsia="Times New Roman"/>
          <w:sz w:val="22"/>
          <w:szCs w:val="22"/>
        </w:rPr>
        <w:t>per cent</w:t>
      </w:r>
      <w:r>
        <w:rPr>
          <w:rFonts w:eastAsia="Times New Roman"/>
          <w:sz w:val="22"/>
          <w:szCs w:val="22"/>
        </w:rPr>
        <w:t xml:space="preserve"> in 2013 to 72 </w:t>
      </w:r>
      <w:r w:rsidR="00FC4721">
        <w:rPr>
          <w:rFonts w:eastAsia="Times New Roman"/>
          <w:sz w:val="22"/>
          <w:szCs w:val="22"/>
        </w:rPr>
        <w:t>per cent</w:t>
      </w:r>
      <w:r>
        <w:rPr>
          <w:rFonts w:eastAsia="Times New Roman"/>
          <w:sz w:val="22"/>
          <w:szCs w:val="22"/>
        </w:rPr>
        <w:t xml:space="preserve"> in 2017. This signifies the growing importance of designing for the consumer inside th</w:t>
      </w:r>
      <w:r w:rsidR="00457590">
        <w:rPr>
          <w:rFonts w:eastAsia="Times New Roman"/>
          <w:sz w:val="22"/>
          <w:szCs w:val="22"/>
        </w:rPr>
        <w:t>e enterprise</w:t>
      </w:r>
      <w:r>
        <w:rPr>
          <w:rFonts w:eastAsia="Times New Roman"/>
          <w:sz w:val="22"/>
          <w:szCs w:val="22"/>
        </w:rPr>
        <w:t xml:space="preserve">. </w:t>
      </w:r>
    </w:p>
    <w:p w:rsidR="00A425B2" w:rsidRDefault="00A425B2" w:rsidP="00A425B2">
      <w:pPr>
        <w:pStyle w:val="NormalWeb"/>
        <w:rPr>
          <w:rFonts w:ascii="Arial" w:eastAsia="Times New Roman" w:hAnsi="Arial" w:cs="Arial"/>
          <w:bCs/>
          <w:color w:val="000000"/>
          <w:sz w:val="22"/>
          <w:szCs w:val="22"/>
        </w:rPr>
      </w:pPr>
      <w:r w:rsidRPr="00A24E31">
        <w:rPr>
          <w:rFonts w:ascii="Arial" w:hAnsi="Arial" w:cs="Arial"/>
          <w:sz w:val="22"/>
          <w:szCs w:val="22"/>
        </w:rPr>
        <w:t>Gartner's detailed market forecast data is available in the report, "Forecast: Devices by Operating System and User Type, Worldwide, 2010-2017, 2Q13 Update." The report is on Gartner's web</w:t>
      </w:r>
      <w:r w:rsidR="00FC4721">
        <w:rPr>
          <w:rFonts w:ascii="Arial" w:hAnsi="Arial" w:cs="Arial"/>
          <w:sz w:val="22"/>
          <w:szCs w:val="22"/>
        </w:rPr>
        <w:t xml:space="preserve"> </w:t>
      </w:r>
      <w:r w:rsidRPr="00A24E31">
        <w:rPr>
          <w:rFonts w:ascii="Arial" w:hAnsi="Arial" w:cs="Arial"/>
          <w:sz w:val="22"/>
          <w:szCs w:val="22"/>
        </w:rPr>
        <w:t xml:space="preserve">site at </w:t>
      </w:r>
      <w:hyperlink r:id="rId9" w:history="1">
        <w:r w:rsidRPr="00A24E31">
          <w:rPr>
            <w:rStyle w:val="Hyperlink"/>
            <w:rFonts w:ascii="Arial" w:eastAsia="Times New Roman" w:hAnsi="Arial" w:cs="Arial"/>
            <w:bCs/>
            <w:sz w:val="22"/>
            <w:szCs w:val="22"/>
          </w:rPr>
          <w:t>http://www.gartner.com/resId=2524916</w:t>
        </w:r>
      </w:hyperlink>
      <w:r w:rsidRPr="00A24E31">
        <w:rPr>
          <w:rFonts w:ascii="Arial" w:eastAsia="Times New Roman" w:hAnsi="Arial" w:cs="Arial"/>
          <w:bCs/>
          <w:color w:val="000000"/>
          <w:sz w:val="22"/>
          <w:szCs w:val="22"/>
        </w:rPr>
        <w:t>.</w:t>
      </w:r>
    </w:p>
    <w:p w:rsidR="00A425B2" w:rsidRPr="00B61888" w:rsidRDefault="00A425B2" w:rsidP="00A425B2">
      <w:pPr>
        <w:autoSpaceDE w:val="0"/>
        <w:autoSpaceDN w:val="0"/>
        <w:rPr>
          <w:b/>
          <w:bCs/>
          <w:color w:val="000000"/>
          <w:sz w:val="22"/>
          <w:szCs w:val="22"/>
        </w:rPr>
      </w:pPr>
      <w:r w:rsidRPr="00B61888">
        <w:rPr>
          <w:b/>
          <w:bCs/>
          <w:color w:val="000000"/>
          <w:sz w:val="22"/>
          <w:szCs w:val="22"/>
        </w:rPr>
        <w:t>About Gartner</w:t>
      </w:r>
    </w:p>
    <w:p w:rsidR="00E14722" w:rsidRDefault="00A425B2" w:rsidP="00A425B2">
      <w:pPr>
        <w:jc w:val="left"/>
        <w:rPr>
          <w:rFonts w:cs="Arial"/>
          <w:sz w:val="22"/>
          <w:szCs w:val="22"/>
        </w:rPr>
      </w:pPr>
      <w:r w:rsidRPr="002B1DF5">
        <w:rPr>
          <w:rFonts w:cs="Arial"/>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w:t>
      </w:r>
      <w:proofErr w:type="spellStart"/>
      <w:r w:rsidR="00FC4721">
        <w:rPr>
          <w:rFonts w:cs="Arial"/>
          <w:sz w:val="22"/>
          <w:szCs w:val="22"/>
        </w:rPr>
        <w:t>organisation</w:t>
      </w:r>
      <w:r w:rsidRPr="002B1DF5">
        <w:rPr>
          <w:rFonts w:cs="Arial"/>
          <w:sz w:val="22"/>
          <w:szCs w:val="22"/>
        </w:rPr>
        <w:t>s</w:t>
      </w:r>
      <w:proofErr w:type="spellEnd"/>
      <w:r w:rsidRPr="002B1DF5">
        <w:rPr>
          <w:rFonts w:cs="Arial"/>
          <w:sz w:val="22"/>
          <w:szCs w:val="22"/>
        </w:rPr>
        <w:t>.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w:t>
      </w:r>
      <w:r w:rsidR="003C5847">
        <w:rPr>
          <w:rFonts w:cs="Arial"/>
          <w:sz w:val="22"/>
          <w:szCs w:val="22"/>
        </w:rPr>
        <w:t>d, Connecticut, USA, and has 5,7</w:t>
      </w:r>
      <w:r w:rsidRPr="002B1DF5">
        <w:rPr>
          <w:rFonts w:cs="Arial"/>
          <w:sz w:val="22"/>
          <w:szCs w:val="22"/>
        </w:rPr>
        <w:t>00 associates, including 1,402 research analysts and consultants, and clients in 85 countries. For more information, visit</w:t>
      </w:r>
      <w:r>
        <w:rPr>
          <w:rFonts w:cs="Arial"/>
          <w:sz w:val="22"/>
          <w:szCs w:val="22"/>
        </w:rPr>
        <w:t xml:space="preserve"> </w:t>
      </w:r>
      <w:hyperlink r:id="rId10" w:history="1">
        <w:r w:rsidRPr="009C2743">
          <w:rPr>
            <w:rStyle w:val="Hyperlink"/>
            <w:rFonts w:cs="Arial"/>
            <w:sz w:val="22"/>
            <w:szCs w:val="22"/>
          </w:rPr>
          <w:t>www.gartner.com</w:t>
        </w:r>
      </w:hyperlink>
      <w:r>
        <w:rPr>
          <w:rFonts w:cs="Arial"/>
          <w:sz w:val="22"/>
          <w:szCs w:val="22"/>
        </w:rPr>
        <w:t xml:space="preserve">. </w:t>
      </w:r>
    </w:p>
    <w:p w:rsidR="00A425B2" w:rsidRDefault="00A425B2" w:rsidP="009B38C7">
      <w:pPr>
        <w:jc w:val="center"/>
      </w:pPr>
      <w:r>
        <w:rPr>
          <w:rFonts w:cs="Arial"/>
          <w:sz w:val="22"/>
          <w:szCs w:val="22"/>
        </w:rPr>
        <w:lastRenderedPageBreak/>
        <w:t># # #</w:t>
      </w:r>
    </w:p>
    <w:sectPr w:rsidR="00A425B2" w:rsidSect="00D55524">
      <w:footerReference w:type="default" r:id="rId11"/>
      <w:headerReference w:type="first" r:id="rId12"/>
      <w:footerReference w:type="first" r:id="rId13"/>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27" w:rsidRDefault="00684927" w:rsidP="00DD6EAC">
      <w:r>
        <w:separator/>
      </w:r>
    </w:p>
  </w:endnote>
  <w:endnote w:type="continuationSeparator" w:id="0">
    <w:p w:rsidR="00684927" w:rsidRDefault="00684927" w:rsidP="00DD6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07" w:rsidRDefault="00520E07">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520E07">
      <w:tc>
        <w:tcPr>
          <w:tcW w:w="6991" w:type="dxa"/>
          <w:tcBorders>
            <w:top w:val="single" w:sz="6" w:space="0" w:color="auto"/>
          </w:tcBorders>
        </w:tcPr>
        <w:p w:rsidR="00520E07" w:rsidRDefault="00520E07">
          <w:pPr>
            <w:pStyle w:val="xFtrLogo"/>
            <w:rPr>
              <w:b/>
            </w:rPr>
          </w:pPr>
          <w:r>
            <w:rPr>
              <w:b/>
            </w:rPr>
            <w:t xml:space="preserve">Gartner, Inc. </w:t>
          </w:r>
        </w:p>
      </w:tc>
      <w:tc>
        <w:tcPr>
          <w:tcW w:w="3449" w:type="dxa"/>
          <w:tcBorders>
            <w:top w:val="single" w:sz="6" w:space="0" w:color="auto"/>
          </w:tcBorders>
        </w:tcPr>
        <w:p w:rsidR="00520E07" w:rsidRDefault="00520E07">
          <w:pPr>
            <w:pStyle w:val="Footer"/>
            <w:spacing w:before="60"/>
            <w:ind w:left="144"/>
            <w:jc w:val="right"/>
          </w:pPr>
          <w:r>
            <w:t xml:space="preserve">page </w:t>
          </w:r>
          <w:r w:rsidR="00C97DD9">
            <w:rPr>
              <w:rStyle w:val="PageNumber"/>
            </w:rPr>
            <w:fldChar w:fldCharType="begin"/>
          </w:r>
          <w:r>
            <w:rPr>
              <w:rStyle w:val="PageNumber"/>
            </w:rPr>
            <w:instrText xml:space="preserve"> PAGE </w:instrText>
          </w:r>
          <w:r w:rsidR="00C97DD9">
            <w:rPr>
              <w:rStyle w:val="PageNumber"/>
            </w:rPr>
            <w:fldChar w:fldCharType="separate"/>
          </w:r>
          <w:r w:rsidR="00D60018">
            <w:rPr>
              <w:rStyle w:val="PageNumber"/>
              <w:noProof/>
            </w:rPr>
            <w:t>2</w:t>
          </w:r>
          <w:r w:rsidR="00C97DD9">
            <w:rPr>
              <w:rStyle w:val="PageNumber"/>
            </w:rPr>
            <w:fldChar w:fldCharType="end"/>
          </w:r>
        </w:p>
      </w:tc>
    </w:tr>
  </w:tbl>
  <w:p w:rsidR="00520E07" w:rsidRDefault="00520E0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E07" w:rsidRDefault="00C97DD9">
    <w:pPr>
      <w:jc w:val="center"/>
    </w:pPr>
    <w:r>
      <w:fldChar w:fldCharType="begin"/>
    </w:r>
    <w:r w:rsidR="00520E07">
      <w:instrText xml:space="preserve"> if </w:instrText>
    </w:r>
    <w:r>
      <w:fldChar w:fldCharType="begin"/>
    </w:r>
    <w:r w:rsidR="00520E07">
      <w:instrText xml:space="preserve"> page </w:instrText>
    </w:r>
    <w:r>
      <w:fldChar w:fldCharType="separate"/>
    </w:r>
    <w:r w:rsidR="00D60018">
      <w:rPr>
        <w:noProof/>
      </w:rPr>
      <w:instrText>1</w:instrText>
    </w:r>
    <w:r>
      <w:rPr>
        <w:noProof/>
      </w:rPr>
      <w:fldChar w:fldCharType="end"/>
    </w:r>
    <w:r w:rsidR="00520E07">
      <w:instrText xml:space="preserve"> = </w:instrText>
    </w:r>
    <w:fldSimple w:instr=" numpages ">
      <w:r w:rsidR="00D60018">
        <w:rPr>
          <w:noProof/>
        </w:rPr>
        <w:instrText>3</w:instrText>
      </w:r>
    </w:fldSimple>
    <w:r w:rsidR="00520E07">
      <w:instrText xml:space="preserve"> "" "-more-" </w:instrText>
    </w:r>
    <w:r w:rsidR="00D60018">
      <w:fldChar w:fldCharType="separate"/>
    </w:r>
    <w:r w:rsidR="00D60018">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27" w:rsidRDefault="00684927" w:rsidP="00DD6EAC">
      <w:r>
        <w:separator/>
      </w:r>
    </w:p>
  </w:footnote>
  <w:footnote w:type="continuationSeparator" w:id="0">
    <w:p w:rsidR="00684927" w:rsidRDefault="00684927" w:rsidP="00DD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981A75" w:rsidRPr="00A9651E" w:rsidTr="006B3403">
      <w:trPr>
        <w:gridAfter w:val="1"/>
        <w:wAfter w:w="27" w:type="dxa"/>
        <w:cantSplit/>
        <w:trHeight w:hRule="exact" w:val="900"/>
      </w:trPr>
      <w:tc>
        <w:tcPr>
          <w:tcW w:w="2610" w:type="dxa"/>
        </w:tcPr>
        <w:p w:rsidR="00981A75" w:rsidRPr="00A9651E" w:rsidRDefault="00981A75" w:rsidP="006B3403">
          <w:pPr>
            <w:pStyle w:val="xHdrLogo"/>
          </w:pPr>
          <w:r>
            <w:rPr>
              <w:noProof/>
              <w:lang w:val="en-GB" w:eastAsia="en-GB"/>
            </w:rPr>
            <w:drawing>
              <wp:inline distT="0" distB="0" distL="0" distR="0">
                <wp:extent cx="1647825" cy="409575"/>
                <wp:effectExtent l="19050" t="0" r="9525" b="0"/>
                <wp:docPr id="2"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9575"/>
                        </a:xfrm>
                        <a:prstGeom prst="rect">
                          <a:avLst/>
                        </a:prstGeom>
                        <a:noFill/>
                        <a:ln w="9525">
                          <a:noFill/>
                          <a:miter lim="800000"/>
                          <a:headEnd/>
                          <a:tailEnd/>
                        </a:ln>
                      </pic:spPr>
                    </pic:pic>
                  </a:graphicData>
                </a:graphic>
              </wp:inline>
            </w:drawing>
          </w:r>
        </w:p>
      </w:tc>
      <w:tc>
        <w:tcPr>
          <w:tcW w:w="900" w:type="dxa"/>
        </w:tcPr>
        <w:p w:rsidR="00981A75" w:rsidRPr="00A9651E" w:rsidRDefault="00981A75" w:rsidP="006B3403"/>
      </w:tc>
      <w:tc>
        <w:tcPr>
          <w:tcW w:w="165" w:type="dxa"/>
          <w:tcBorders>
            <w:bottom w:val="single" w:sz="6" w:space="0" w:color="auto"/>
            <w:right w:val="single" w:sz="6" w:space="0" w:color="auto"/>
          </w:tcBorders>
        </w:tcPr>
        <w:p w:rsidR="00981A75" w:rsidRPr="00A9651E" w:rsidRDefault="00981A75" w:rsidP="006B3403"/>
      </w:tc>
      <w:tc>
        <w:tcPr>
          <w:tcW w:w="6675" w:type="dxa"/>
          <w:tcBorders>
            <w:left w:val="single" w:sz="6" w:space="0" w:color="auto"/>
          </w:tcBorders>
        </w:tcPr>
        <w:p w:rsidR="00981A75" w:rsidRPr="00A9651E" w:rsidRDefault="00C97DD9" w:rsidP="006B3403">
          <w:pPr>
            <w:pStyle w:val="xHdrServiceName"/>
          </w:pPr>
          <w:r w:rsidRPr="00A9651E">
            <w:rPr>
              <w:sz w:val="72"/>
            </w:rPr>
            <w:fldChar w:fldCharType="begin"/>
          </w:r>
          <w:r w:rsidR="00981A75" w:rsidRPr="00A9651E">
            <w:rPr>
              <w:sz w:val="72"/>
            </w:rPr>
            <w:instrText xml:space="preserve"> MACROBUTTON DocumentSetup </w:instrText>
          </w:r>
          <w:r w:rsidRPr="00A9651E">
            <w:rPr>
              <w:sz w:val="72"/>
            </w:rPr>
            <w:fldChar w:fldCharType="begin"/>
          </w:r>
          <w:r w:rsidR="00981A75" w:rsidRPr="00A9651E">
            <w:rPr>
              <w:sz w:val="72"/>
            </w:rPr>
            <w:instrText xml:space="preserve"> DOCPROPERTY SubTypeDesc </w:instrText>
          </w:r>
          <w:r w:rsidRPr="00A9651E">
            <w:rPr>
              <w:sz w:val="72"/>
            </w:rPr>
            <w:fldChar w:fldCharType="separate"/>
          </w:r>
          <w:r w:rsidR="00981A75" w:rsidRPr="00A9651E">
            <w:rPr>
              <w:sz w:val="72"/>
            </w:rPr>
            <w:instrText>Press Release</w:instrText>
          </w:r>
          <w:r w:rsidRPr="00A9651E">
            <w:rPr>
              <w:sz w:val="72"/>
            </w:rPr>
            <w:fldChar w:fldCharType="end"/>
          </w:r>
          <w:r w:rsidRPr="00A9651E">
            <w:rPr>
              <w:sz w:val="72"/>
            </w:rPr>
            <w:fldChar w:fldCharType="end"/>
          </w:r>
        </w:p>
      </w:tc>
    </w:tr>
    <w:tr w:rsidR="00520E07">
      <w:trPr>
        <w:gridAfter w:val="1"/>
        <w:wAfter w:w="27" w:type="dxa"/>
        <w:cantSplit/>
        <w:trHeight w:hRule="exact" w:val="900"/>
      </w:trPr>
      <w:tc>
        <w:tcPr>
          <w:tcW w:w="2610" w:type="dxa"/>
        </w:tcPr>
        <w:p w:rsidR="00520E07" w:rsidRDefault="00520E07">
          <w:pPr>
            <w:pStyle w:val="xHdrLogo"/>
          </w:pPr>
        </w:p>
      </w:tc>
      <w:tc>
        <w:tcPr>
          <w:tcW w:w="900" w:type="dxa"/>
        </w:tcPr>
        <w:p w:rsidR="00520E07" w:rsidRDefault="00520E07"/>
      </w:tc>
      <w:tc>
        <w:tcPr>
          <w:tcW w:w="165" w:type="dxa"/>
          <w:tcBorders>
            <w:bottom w:val="single" w:sz="6" w:space="0" w:color="auto"/>
            <w:right w:val="single" w:sz="6" w:space="0" w:color="auto"/>
          </w:tcBorders>
        </w:tcPr>
        <w:p w:rsidR="00520E07" w:rsidRDefault="00520E07"/>
      </w:tc>
      <w:tc>
        <w:tcPr>
          <w:tcW w:w="6675" w:type="dxa"/>
          <w:tcBorders>
            <w:left w:val="single" w:sz="6" w:space="0" w:color="auto"/>
          </w:tcBorders>
        </w:tcPr>
        <w:p w:rsidR="00520E07" w:rsidRDefault="00520E07">
          <w:pPr>
            <w:pStyle w:val="xHdrServiceName"/>
          </w:pPr>
        </w:p>
      </w:tc>
    </w:tr>
    <w:tr w:rsidR="00520E07">
      <w:trPr>
        <w:cantSplit/>
      </w:trPr>
      <w:tc>
        <w:tcPr>
          <w:tcW w:w="3510" w:type="dxa"/>
          <w:gridSpan w:val="2"/>
        </w:tcPr>
        <w:p w:rsidR="00520E07" w:rsidRDefault="00520E07">
          <w:pPr>
            <w:spacing w:before="60" w:after="60"/>
            <w:ind w:left="1080"/>
          </w:pPr>
        </w:p>
      </w:tc>
      <w:tc>
        <w:tcPr>
          <w:tcW w:w="165" w:type="dxa"/>
        </w:tcPr>
        <w:p w:rsidR="00520E07" w:rsidRDefault="00520E07">
          <w:pPr>
            <w:spacing w:before="60" w:after="60"/>
            <w:ind w:left="1080"/>
            <w:rPr>
              <w:b/>
            </w:rPr>
          </w:pPr>
        </w:p>
      </w:tc>
      <w:tc>
        <w:tcPr>
          <w:tcW w:w="6702" w:type="dxa"/>
          <w:gridSpan w:val="2"/>
        </w:tcPr>
        <w:p w:rsidR="00520E07" w:rsidRDefault="00520E07"/>
      </w:tc>
    </w:tr>
  </w:tbl>
  <w:p w:rsidR="00520E07" w:rsidRDefault="00520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5C335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5E63"/>
    <w:rsid w:val="00003F58"/>
    <w:rsid w:val="00040333"/>
    <w:rsid w:val="000515C5"/>
    <w:rsid w:val="00051B50"/>
    <w:rsid w:val="00125F4A"/>
    <w:rsid w:val="001309AB"/>
    <w:rsid w:val="00130DE9"/>
    <w:rsid w:val="0015448C"/>
    <w:rsid w:val="00186630"/>
    <w:rsid w:val="001A2783"/>
    <w:rsid w:val="001A7E1B"/>
    <w:rsid w:val="001C2091"/>
    <w:rsid w:val="002321B8"/>
    <w:rsid w:val="00236F9A"/>
    <w:rsid w:val="00245BCC"/>
    <w:rsid w:val="002642C3"/>
    <w:rsid w:val="002656E1"/>
    <w:rsid w:val="002712EA"/>
    <w:rsid w:val="00273A63"/>
    <w:rsid w:val="00275059"/>
    <w:rsid w:val="0028530A"/>
    <w:rsid w:val="002B5E63"/>
    <w:rsid w:val="002D04E2"/>
    <w:rsid w:val="002D405B"/>
    <w:rsid w:val="00320F17"/>
    <w:rsid w:val="003324A7"/>
    <w:rsid w:val="00343CE7"/>
    <w:rsid w:val="0036565F"/>
    <w:rsid w:val="00375DB9"/>
    <w:rsid w:val="00385A5A"/>
    <w:rsid w:val="00386802"/>
    <w:rsid w:val="00394CAD"/>
    <w:rsid w:val="003A1271"/>
    <w:rsid w:val="003B67BA"/>
    <w:rsid w:val="003C06EB"/>
    <w:rsid w:val="003C5847"/>
    <w:rsid w:val="003D3C04"/>
    <w:rsid w:val="003E0889"/>
    <w:rsid w:val="003E6A4E"/>
    <w:rsid w:val="003F377E"/>
    <w:rsid w:val="00411FE1"/>
    <w:rsid w:val="00420530"/>
    <w:rsid w:val="00457590"/>
    <w:rsid w:val="0047343C"/>
    <w:rsid w:val="004B35BF"/>
    <w:rsid w:val="004C53EC"/>
    <w:rsid w:val="004C6E8B"/>
    <w:rsid w:val="00520E07"/>
    <w:rsid w:val="00527C35"/>
    <w:rsid w:val="00582673"/>
    <w:rsid w:val="005877DA"/>
    <w:rsid w:val="00591FB0"/>
    <w:rsid w:val="00595F5B"/>
    <w:rsid w:val="005C3C51"/>
    <w:rsid w:val="005D2E24"/>
    <w:rsid w:val="005E2E42"/>
    <w:rsid w:val="005F5024"/>
    <w:rsid w:val="00612646"/>
    <w:rsid w:val="00631145"/>
    <w:rsid w:val="00661F3B"/>
    <w:rsid w:val="00684610"/>
    <w:rsid w:val="00684927"/>
    <w:rsid w:val="006976AA"/>
    <w:rsid w:val="006B2FD3"/>
    <w:rsid w:val="006E0363"/>
    <w:rsid w:val="006F07F1"/>
    <w:rsid w:val="006F6380"/>
    <w:rsid w:val="007018D7"/>
    <w:rsid w:val="00703AE8"/>
    <w:rsid w:val="007407A9"/>
    <w:rsid w:val="0077530D"/>
    <w:rsid w:val="00787E91"/>
    <w:rsid w:val="007A4597"/>
    <w:rsid w:val="007D21F4"/>
    <w:rsid w:val="007E74A1"/>
    <w:rsid w:val="007F4D7C"/>
    <w:rsid w:val="00821C7B"/>
    <w:rsid w:val="00821D97"/>
    <w:rsid w:val="00832CBF"/>
    <w:rsid w:val="00876599"/>
    <w:rsid w:val="008868E4"/>
    <w:rsid w:val="008A4824"/>
    <w:rsid w:val="008A4E40"/>
    <w:rsid w:val="008A6921"/>
    <w:rsid w:val="008B4520"/>
    <w:rsid w:val="009040A8"/>
    <w:rsid w:val="00906859"/>
    <w:rsid w:val="0093026B"/>
    <w:rsid w:val="00933DF7"/>
    <w:rsid w:val="009376E4"/>
    <w:rsid w:val="00943815"/>
    <w:rsid w:val="009475F1"/>
    <w:rsid w:val="0096017A"/>
    <w:rsid w:val="009709F5"/>
    <w:rsid w:val="0097473E"/>
    <w:rsid w:val="00981A75"/>
    <w:rsid w:val="009950C6"/>
    <w:rsid w:val="009A49DD"/>
    <w:rsid w:val="009B38C7"/>
    <w:rsid w:val="009D332D"/>
    <w:rsid w:val="009E077A"/>
    <w:rsid w:val="00A112C2"/>
    <w:rsid w:val="00A17CF2"/>
    <w:rsid w:val="00A235DF"/>
    <w:rsid w:val="00A425B2"/>
    <w:rsid w:val="00A47D9E"/>
    <w:rsid w:val="00A71089"/>
    <w:rsid w:val="00A82369"/>
    <w:rsid w:val="00A84607"/>
    <w:rsid w:val="00A97007"/>
    <w:rsid w:val="00AA08C4"/>
    <w:rsid w:val="00AB0A8F"/>
    <w:rsid w:val="00AB445F"/>
    <w:rsid w:val="00AB76FF"/>
    <w:rsid w:val="00AC1DEA"/>
    <w:rsid w:val="00AC2730"/>
    <w:rsid w:val="00AC334C"/>
    <w:rsid w:val="00AE3D00"/>
    <w:rsid w:val="00B02D5B"/>
    <w:rsid w:val="00B05073"/>
    <w:rsid w:val="00B14FFE"/>
    <w:rsid w:val="00B31328"/>
    <w:rsid w:val="00B46FFB"/>
    <w:rsid w:val="00B5719E"/>
    <w:rsid w:val="00B72272"/>
    <w:rsid w:val="00B75822"/>
    <w:rsid w:val="00BA537A"/>
    <w:rsid w:val="00BC4990"/>
    <w:rsid w:val="00BD70C9"/>
    <w:rsid w:val="00BE1AAE"/>
    <w:rsid w:val="00BF5B69"/>
    <w:rsid w:val="00C02B8C"/>
    <w:rsid w:val="00C31BE1"/>
    <w:rsid w:val="00C43B43"/>
    <w:rsid w:val="00C57F6A"/>
    <w:rsid w:val="00C65A91"/>
    <w:rsid w:val="00C6779E"/>
    <w:rsid w:val="00C90CE5"/>
    <w:rsid w:val="00C97DD9"/>
    <w:rsid w:val="00CA4581"/>
    <w:rsid w:val="00CB170C"/>
    <w:rsid w:val="00CB1E2A"/>
    <w:rsid w:val="00CD6A49"/>
    <w:rsid w:val="00CE63EA"/>
    <w:rsid w:val="00CE7A44"/>
    <w:rsid w:val="00CF0D79"/>
    <w:rsid w:val="00D02C8A"/>
    <w:rsid w:val="00D04F09"/>
    <w:rsid w:val="00D2343B"/>
    <w:rsid w:val="00D27EFF"/>
    <w:rsid w:val="00D468CB"/>
    <w:rsid w:val="00D55524"/>
    <w:rsid w:val="00D60018"/>
    <w:rsid w:val="00D616C0"/>
    <w:rsid w:val="00D907AF"/>
    <w:rsid w:val="00DD1AE9"/>
    <w:rsid w:val="00DD6EAC"/>
    <w:rsid w:val="00DF14E2"/>
    <w:rsid w:val="00E14722"/>
    <w:rsid w:val="00E3018A"/>
    <w:rsid w:val="00E81609"/>
    <w:rsid w:val="00E85907"/>
    <w:rsid w:val="00E91992"/>
    <w:rsid w:val="00EC22AE"/>
    <w:rsid w:val="00EC34BD"/>
    <w:rsid w:val="00ED1714"/>
    <w:rsid w:val="00EF386A"/>
    <w:rsid w:val="00F3137C"/>
    <w:rsid w:val="00F448BA"/>
    <w:rsid w:val="00F544F7"/>
    <w:rsid w:val="00FB44A4"/>
    <w:rsid w:val="00FC4721"/>
    <w:rsid w:val="00FD2F6A"/>
    <w:rsid w:val="00FF14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rsid w:val="002B5E63"/>
    <w:pPr>
      <w:spacing w:before="120"/>
    </w:pPr>
  </w:style>
  <w:style w:type="paragraph" w:customStyle="1" w:styleId="xHdrServiceName">
    <w:name w:val="x_HdrServiceName"/>
    <w:basedOn w:val="Normal"/>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uiPriority w:val="99"/>
    <w:semiHidden/>
    <w:rsid w:val="002B5E63"/>
    <w:rPr>
      <w:rFonts w:cs="Times New Roman"/>
      <w:sz w:val="16"/>
      <w:szCs w:val="16"/>
    </w:rPr>
  </w:style>
  <w:style w:type="paragraph" w:styleId="CommentText">
    <w:name w:val="annotation text"/>
    <w:basedOn w:val="Normal"/>
    <w:link w:val="CommentTextChar"/>
    <w:uiPriority w:val="99"/>
    <w:semiHidden/>
    <w:rsid w:val="002B5E63"/>
  </w:style>
  <w:style w:type="character" w:customStyle="1" w:styleId="CommentTextChar">
    <w:name w:val="Comment Text Char"/>
    <w:basedOn w:val="DefaultParagraphFont"/>
    <w:link w:val="CommentText"/>
    <w:uiPriority w:val="99"/>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uiPriority w:val="99"/>
    <w:rsid w:val="002B5E63"/>
    <w:pPr>
      <w:spacing w:before="120"/>
    </w:pPr>
  </w:style>
  <w:style w:type="paragraph" w:customStyle="1" w:styleId="xHdrServiceName">
    <w:name w:val="x_HdrServiceName"/>
    <w:basedOn w:val="Normal"/>
    <w:uiPriority w:val="99"/>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semiHidden/>
    <w:rsid w:val="002B5E63"/>
    <w:rPr>
      <w:rFonts w:cs="Times New Roman"/>
      <w:sz w:val="16"/>
      <w:szCs w:val="16"/>
    </w:rPr>
  </w:style>
  <w:style w:type="paragraph" w:styleId="CommentText">
    <w:name w:val="annotation text"/>
    <w:basedOn w:val="Normal"/>
    <w:link w:val="CommentTextChar"/>
    <w:semiHidden/>
    <w:rsid w:val="002B5E63"/>
  </w:style>
  <w:style w:type="character" w:customStyle="1" w:styleId="CommentTextChar">
    <w:name w:val="Comment Text Char"/>
    <w:basedOn w:val="DefaultParagraphFont"/>
    <w:link w:val="CommentText"/>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s>
</file>

<file path=word/webSettings.xml><?xml version="1.0" encoding="utf-8"?>
<w:webSettings xmlns:r="http://schemas.openxmlformats.org/officeDocument/2006/relationships" xmlns:w="http://schemas.openxmlformats.org/wordprocessingml/2006/main">
  <w:divs>
    <w:div w:id="986319931">
      <w:bodyDiv w:val="1"/>
      <w:marLeft w:val="0"/>
      <w:marRight w:val="0"/>
      <w:marTop w:val="0"/>
      <w:marBottom w:val="0"/>
      <w:divBdr>
        <w:top w:val="none" w:sz="0" w:space="0" w:color="auto"/>
        <w:left w:val="none" w:sz="0" w:space="0" w:color="auto"/>
        <w:bottom w:val="none" w:sz="0" w:space="0" w:color="auto"/>
        <w:right w:val="none" w:sz="0" w:space="0" w:color="auto"/>
      </w:divBdr>
      <w:divsChild>
        <w:div w:id="822159778">
          <w:marLeft w:val="0"/>
          <w:marRight w:val="0"/>
          <w:marTop w:val="0"/>
          <w:marBottom w:val="0"/>
          <w:divBdr>
            <w:top w:val="none" w:sz="0" w:space="0" w:color="auto"/>
            <w:left w:val="none" w:sz="0" w:space="0" w:color="auto"/>
            <w:bottom w:val="none" w:sz="0" w:space="0" w:color="auto"/>
            <w:right w:val="none" w:sz="0" w:space="0" w:color="auto"/>
          </w:divBdr>
          <w:divsChild>
            <w:div w:id="969557999">
              <w:marLeft w:val="0"/>
              <w:marRight w:val="0"/>
              <w:marTop w:val="0"/>
              <w:marBottom w:val="0"/>
              <w:divBdr>
                <w:top w:val="none" w:sz="0" w:space="0" w:color="auto"/>
                <w:left w:val="none" w:sz="0" w:space="0" w:color="auto"/>
                <w:bottom w:val="none" w:sz="0" w:space="0" w:color="auto"/>
                <w:right w:val="none" w:sz="0" w:space="0" w:color="auto"/>
              </w:divBdr>
              <w:divsChild>
                <w:div w:id="352611637">
                  <w:marLeft w:val="0"/>
                  <w:marRight w:val="0"/>
                  <w:marTop w:val="0"/>
                  <w:marBottom w:val="0"/>
                  <w:divBdr>
                    <w:top w:val="none" w:sz="0" w:space="0" w:color="auto"/>
                    <w:left w:val="none" w:sz="0" w:space="0" w:color="auto"/>
                    <w:bottom w:val="none" w:sz="0" w:space="0" w:color="auto"/>
                    <w:right w:val="none" w:sz="0" w:space="0" w:color="auto"/>
                  </w:divBdr>
                  <w:divsChild>
                    <w:div w:id="902562556">
                      <w:marLeft w:val="0"/>
                      <w:marRight w:val="0"/>
                      <w:marTop w:val="0"/>
                      <w:marBottom w:val="0"/>
                      <w:divBdr>
                        <w:top w:val="none" w:sz="0" w:space="0" w:color="auto"/>
                        <w:left w:val="none" w:sz="0" w:space="0" w:color="auto"/>
                        <w:bottom w:val="none" w:sz="0" w:space="0" w:color="auto"/>
                        <w:right w:val="none" w:sz="0" w:space="0" w:color="auto"/>
                      </w:divBdr>
                      <w:divsChild>
                        <w:div w:id="475536657">
                          <w:marLeft w:val="0"/>
                          <w:marRight w:val="0"/>
                          <w:marTop w:val="0"/>
                          <w:marBottom w:val="0"/>
                          <w:divBdr>
                            <w:top w:val="none" w:sz="0" w:space="0" w:color="auto"/>
                            <w:left w:val="none" w:sz="0" w:space="0" w:color="auto"/>
                            <w:bottom w:val="none" w:sz="0" w:space="0" w:color="auto"/>
                            <w:right w:val="none" w:sz="0" w:space="0" w:color="auto"/>
                          </w:divBdr>
                          <w:divsChild>
                            <w:div w:id="1604264109">
                              <w:marLeft w:val="0"/>
                              <w:marRight w:val="0"/>
                              <w:marTop w:val="0"/>
                              <w:marBottom w:val="0"/>
                              <w:divBdr>
                                <w:top w:val="none" w:sz="0" w:space="0" w:color="auto"/>
                                <w:left w:val="none" w:sz="0" w:space="0" w:color="auto"/>
                                <w:bottom w:val="none" w:sz="0" w:space="0" w:color="auto"/>
                                <w:right w:val="none" w:sz="0" w:space="0" w:color="auto"/>
                              </w:divBdr>
                              <w:divsChild>
                                <w:div w:id="1874533307">
                                  <w:marLeft w:val="0"/>
                                  <w:marRight w:val="0"/>
                                  <w:marTop w:val="0"/>
                                  <w:marBottom w:val="0"/>
                                  <w:divBdr>
                                    <w:top w:val="none" w:sz="0" w:space="0" w:color="auto"/>
                                    <w:left w:val="none" w:sz="0" w:space="0" w:color="auto"/>
                                    <w:bottom w:val="none" w:sz="0" w:space="0" w:color="auto"/>
                                    <w:right w:val="none" w:sz="0" w:space="0" w:color="auto"/>
                                  </w:divBdr>
                                  <w:divsChild>
                                    <w:div w:id="1535577322">
                                      <w:marLeft w:val="0"/>
                                      <w:marRight w:val="0"/>
                                      <w:marTop w:val="0"/>
                                      <w:marBottom w:val="0"/>
                                      <w:divBdr>
                                        <w:top w:val="none" w:sz="0" w:space="0" w:color="auto"/>
                                        <w:left w:val="none" w:sz="0" w:space="0" w:color="auto"/>
                                        <w:bottom w:val="none" w:sz="0" w:space="0" w:color="auto"/>
                                        <w:right w:val="none" w:sz="0" w:space="0" w:color="auto"/>
                                      </w:divBdr>
                                      <w:divsChild>
                                        <w:div w:id="1893733423">
                                          <w:marLeft w:val="0"/>
                                          <w:marRight w:val="0"/>
                                          <w:marTop w:val="0"/>
                                          <w:marBottom w:val="0"/>
                                          <w:divBdr>
                                            <w:top w:val="none" w:sz="0" w:space="0" w:color="auto"/>
                                            <w:left w:val="none" w:sz="0" w:space="0" w:color="auto"/>
                                            <w:bottom w:val="none" w:sz="0" w:space="0" w:color="auto"/>
                                            <w:right w:val="none" w:sz="0" w:space="0" w:color="auto"/>
                                          </w:divBdr>
                                          <w:divsChild>
                                            <w:div w:id="929777535">
                                              <w:marLeft w:val="0"/>
                                              <w:marRight w:val="0"/>
                                              <w:marTop w:val="0"/>
                                              <w:marBottom w:val="0"/>
                                              <w:divBdr>
                                                <w:top w:val="none" w:sz="0" w:space="0" w:color="auto"/>
                                                <w:left w:val="none" w:sz="0" w:space="0" w:color="auto"/>
                                                <w:bottom w:val="none" w:sz="0" w:space="0" w:color="auto"/>
                                                <w:right w:val="none" w:sz="0" w:space="0" w:color="auto"/>
                                              </w:divBdr>
                                              <w:divsChild>
                                                <w:div w:id="1490631025">
                                                  <w:marLeft w:val="0"/>
                                                  <w:marRight w:val="0"/>
                                                  <w:marTop w:val="0"/>
                                                  <w:marBottom w:val="0"/>
                                                  <w:divBdr>
                                                    <w:top w:val="none" w:sz="0" w:space="0" w:color="auto"/>
                                                    <w:left w:val="none" w:sz="0" w:space="0" w:color="auto"/>
                                                    <w:bottom w:val="none" w:sz="0" w:space="0" w:color="auto"/>
                                                    <w:right w:val="none" w:sz="0" w:space="0" w:color="auto"/>
                                                  </w:divBdr>
                                                  <w:divsChild>
                                                    <w:div w:id="1011105899">
                                                      <w:marLeft w:val="0"/>
                                                      <w:marRight w:val="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856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633938">
      <w:bodyDiv w:val="1"/>
      <w:marLeft w:val="0"/>
      <w:marRight w:val="0"/>
      <w:marTop w:val="0"/>
      <w:marBottom w:val="0"/>
      <w:divBdr>
        <w:top w:val="none" w:sz="0" w:space="0" w:color="auto"/>
        <w:left w:val="none" w:sz="0" w:space="0" w:color="auto"/>
        <w:bottom w:val="none" w:sz="0" w:space="0" w:color="auto"/>
        <w:right w:val="none" w:sz="0" w:space="0" w:color="auto"/>
      </w:divBdr>
      <w:divsChild>
        <w:div w:id="1319843699">
          <w:marLeft w:val="0"/>
          <w:marRight w:val="0"/>
          <w:marTop w:val="0"/>
          <w:marBottom w:val="0"/>
          <w:divBdr>
            <w:top w:val="none" w:sz="0" w:space="0" w:color="auto"/>
            <w:left w:val="none" w:sz="0" w:space="0" w:color="auto"/>
            <w:bottom w:val="none" w:sz="0" w:space="0" w:color="auto"/>
            <w:right w:val="none" w:sz="0" w:space="0" w:color="auto"/>
          </w:divBdr>
        </w:div>
      </w:divsChild>
    </w:div>
    <w:div w:id="1382441949">
      <w:bodyDiv w:val="1"/>
      <w:marLeft w:val="0"/>
      <w:marRight w:val="0"/>
      <w:marTop w:val="0"/>
      <w:marBottom w:val="0"/>
      <w:divBdr>
        <w:top w:val="none" w:sz="0" w:space="0" w:color="auto"/>
        <w:left w:val="none" w:sz="0" w:space="0" w:color="auto"/>
        <w:bottom w:val="none" w:sz="0" w:space="0" w:color="auto"/>
        <w:right w:val="none" w:sz="0" w:space="0" w:color="auto"/>
      </w:divBdr>
    </w:div>
    <w:div w:id="17410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essa.rivera@gartner.com"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tner.com" TargetMode="External"/><Relationship Id="rId4" Type="http://schemas.openxmlformats.org/officeDocument/2006/relationships/webSettings" Target="webSettings.xml"/><Relationship Id="rId9" Type="http://schemas.openxmlformats.org/officeDocument/2006/relationships/hyperlink" Target="http://www.gartner.com/resId=25249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cpettey</dc:creator>
  <cp:lastModifiedBy>rvanderm</cp:lastModifiedBy>
  <cp:revision>5</cp:revision>
  <cp:lastPrinted>2013-06-14T21:48:00Z</cp:lastPrinted>
  <dcterms:created xsi:type="dcterms:W3CDTF">2013-06-23T13:56:00Z</dcterms:created>
  <dcterms:modified xsi:type="dcterms:W3CDTF">2013-06-24T06:21:00Z</dcterms:modified>
</cp:coreProperties>
</file>