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8ED" w:rsidRPr="004A6B89" w:rsidRDefault="00ED78ED">
      <w:pPr>
        <w:pStyle w:val="contact"/>
        <w:widowControl/>
        <w:tabs>
          <w:tab w:val="clear" w:pos="9180"/>
        </w:tabs>
        <w:rPr>
          <w:rFonts w:ascii="Arial" w:hAnsi="Arial"/>
        </w:rPr>
      </w:pPr>
      <w:r w:rsidRPr="004A6B89">
        <w:rPr>
          <w:rFonts w:ascii="Arial" w:hAnsi="Arial"/>
        </w:rPr>
        <w:t>FOR IMMEDIATE RELEASE</w:t>
      </w:r>
    </w:p>
    <w:p w:rsidR="00ED78ED" w:rsidRPr="004A6B89" w:rsidRDefault="00ED78ED">
      <w:pPr>
        <w:jc w:val="left"/>
        <w:rPr>
          <w:sz w:val="22"/>
        </w:rPr>
      </w:pPr>
    </w:p>
    <w:p w:rsidR="00176C18" w:rsidRPr="004A6B89" w:rsidRDefault="00176C18" w:rsidP="00176C18">
      <w:pPr>
        <w:pStyle w:val="contact"/>
        <w:widowControl/>
        <w:rPr>
          <w:rFonts w:ascii="Arial" w:hAnsi="Arial"/>
          <w:smallCaps/>
          <w:color w:val="000000"/>
        </w:rPr>
      </w:pPr>
      <w:r w:rsidRPr="004A6B89">
        <w:rPr>
          <w:rFonts w:ascii="Arial" w:hAnsi="Arial"/>
          <w:smallCaps/>
          <w:color w:val="000000"/>
        </w:rPr>
        <w:t>CONTACT:</w:t>
      </w:r>
    </w:p>
    <w:p w:rsidR="00176C18" w:rsidRPr="004A6B89" w:rsidRDefault="004A6B89" w:rsidP="00176C18">
      <w:pPr>
        <w:pStyle w:val="contact"/>
        <w:widowControl/>
        <w:rPr>
          <w:rFonts w:ascii="Arial" w:hAnsi="Arial"/>
          <w:color w:val="000000"/>
        </w:rPr>
      </w:pPr>
      <w:r w:rsidRPr="004A6B89">
        <w:rPr>
          <w:rFonts w:ascii="Arial" w:hAnsi="Arial"/>
        </w:rPr>
        <w:t>Robert van der Meulen</w:t>
      </w:r>
    </w:p>
    <w:p w:rsidR="00176C18" w:rsidRPr="004A6B89" w:rsidRDefault="00176C18" w:rsidP="00176C18">
      <w:pPr>
        <w:pStyle w:val="contact"/>
        <w:widowControl/>
        <w:rPr>
          <w:rFonts w:ascii="Arial" w:hAnsi="Arial"/>
          <w:color w:val="000000"/>
        </w:rPr>
      </w:pPr>
      <w:r w:rsidRPr="004A6B89">
        <w:rPr>
          <w:rFonts w:ascii="Arial" w:hAnsi="Arial"/>
          <w:color w:val="000000"/>
        </w:rPr>
        <w:t>Gartner</w:t>
      </w:r>
    </w:p>
    <w:p w:rsidR="00176C18" w:rsidRPr="004A6B89" w:rsidRDefault="00176C18" w:rsidP="00176C18">
      <w:pPr>
        <w:pStyle w:val="contact"/>
        <w:widowControl/>
        <w:rPr>
          <w:rFonts w:ascii="Arial" w:hAnsi="Arial"/>
        </w:rPr>
      </w:pPr>
      <w:r w:rsidRPr="004A6B89">
        <w:rPr>
          <w:rFonts w:ascii="Arial" w:hAnsi="Arial"/>
        </w:rPr>
        <w:t>+</w:t>
      </w:r>
      <w:r w:rsidR="004A6B89" w:rsidRPr="004A6B89">
        <w:rPr>
          <w:rFonts w:ascii="Arial" w:hAnsi="Arial"/>
        </w:rPr>
        <w:t>44 1784 267 738</w:t>
      </w:r>
    </w:p>
    <w:p w:rsidR="00176C18" w:rsidRPr="004A6B89" w:rsidRDefault="004842AD" w:rsidP="00176C18">
      <w:pPr>
        <w:pStyle w:val="contact"/>
        <w:widowControl/>
        <w:rPr>
          <w:rFonts w:ascii="Arial" w:hAnsi="Arial"/>
          <w:color w:val="000000"/>
        </w:rPr>
      </w:pPr>
      <w:hyperlink r:id="rId7" w:history="1">
        <w:r w:rsidR="004A6B89" w:rsidRPr="004A6B89">
          <w:rPr>
            <w:rStyle w:val="Hyperlink"/>
            <w:rFonts w:ascii="Arial" w:hAnsi="Arial" w:cs="Arial"/>
          </w:rPr>
          <w:t>rob.vandermeulen@gartner.com</w:t>
        </w:r>
      </w:hyperlink>
    </w:p>
    <w:p w:rsidR="00176C18" w:rsidRPr="004A6B89" w:rsidRDefault="00176C18" w:rsidP="00176C18">
      <w:pPr>
        <w:spacing w:after="120"/>
        <w:jc w:val="center"/>
        <w:rPr>
          <w:rFonts w:cs="Arial"/>
        </w:rPr>
      </w:pPr>
    </w:p>
    <w:p w:rsidR="00B615BA" w:rsidRPr="004A6B89" w:rsidRDefault="00B615BA" w:rsidP="00176C18">
      <w:pPr>
        <w:spacing w:after="120"/>
        <w:jc w:val="center"/>
        <w:rPr>
          <w:b/>
          <w:sz w:val="24"/>
        </w:rPr>
      </w:pPr>
      <w:r w:rsidRPr="004A6B89">
        <w:rPr>
          <w:b/>
          <w:color w:val="000000"/>
          <w:sz w:val="24"/>
        </w:rPr>
        <w:t xml:space="preserve">Gartner </w:t>
      </w:r>
      <w:r w:rsidR="00900E8A" w:rsidRPr="004A6B89">
        <w:rPr>
          <w:b/>
          <w:sz w:val="24"/>
        </w:rPr>
        <w:t xml:space="preserve">Says </w:t>
      </w:r>
      <w:r w:rsidR="00C03488" w:rsidRPr="004A6B89">
        <w:rPr>
          <w:b/>
          <w:sz w:val="24"/>
        </w:rPr>
        <w:t xml:space="preserve">Worldwide PC Shipments </w:t>
      </w:r>
      <w:r w:rsidR="00900E8A" w:rsidRPr="004A6B89">
        <w:rPr>
          <w:b/>
          <w:sz w:val="24"/>
        </w:rPr>
        <w:t>in the First Quarter of 2013 Drop to Lowest Levels Since Second Quarter of 2009</w:t>
      </w:r>
      <w:r w:rsidR="00422582" w:rsidRPr="004A6B89">
        <w:rPr>
          <w:b/>
          <w:sz w:val="24"/>
        </w:rPr>
        <w:t xml:space="preserve"> </w:t>
      </w:r>
    </w:p>
    <w:p w:rsidR="00900E8A" w:rsidRPr="004A6B89" w:rsidRDefault="00900E8A" w:rsidP="00176C18">
      <w:pPr>
        <w:spacing w:after="120"/>
        <w:jc w:val="center"/>
        <w:rPr>
          <w:b/>
          <w:i/>
          <w:sz w:val="22"/>
          <w:szCs w:val="22"/>
        </w:rPr>
      </w:pPr>
      <w:r w:rsidRPr="004A6B89">
        <w:rPr>
          <w:b/>
          <w:i/>
          <w:sz w:val="22"/>
          <w:szCs w:val="22"/>
        </w:rPr>
        <w:t>All Regions Experienced a Decline in PC Shipments in First Quarter of 2013</w:t>
      </w:r>
    </w:p>
    <w:p w:rsidR="004A6B89" w:rsidRPr="004A6B89" w:rsidRDefault="004A6B89" w:rsidP="00176C18">
      <w:pPr>
        <w:spacing w:after="120"/>
        <w:jc w:val="center"/>
        <w:rPr>
          <w:b/>
          <w:i/>
          <w:sz w:val="22"/>
          <w:szCs w:val="22"/>
        </w:rPr>
      </w:pPr>
      <w:r w:rsidRPr="004A6B89">
        <w:rPr>
          <w:b/>
          <w:i/>
          <w:sz w:val="22"/>
          <w:szCs w:val="22"/>
        </w:rPr>
        <w:t xml:space="preserve">EMEA </w:t>
      </w:r>
      <w:r w:rsidR="00B05080">
        <w:rPr>
          <w:b/>
          <w:i/>
          <w:sz w:val="22"/>
          <w:szCs w:val="22"/>
        </w:rPr>
        <w:t>S</w:t>
      </w:r>
      <w:r w:rsidRPr="004A6B89">
        <w:rPr>
          <w:b/>
          <w:i/>
          <w:sz w:val="22"/>
          <w:szCs w:val="22"/>
        </w:rPr>
        <w:t xml:space="preserve">aw </w:t>
      </w:r>
      <w:r w:rsidR="00B05080">
        <w:rPr>
          <w:b/>
          <w:i/>
          <w:sz w:val="22"/>
          <w:szCs w:val="22"/>
        </w:rPr>
        <w:t>S</w:t>
      </w:r>
      <w:r w:rsidRPr="004A6B89">
        <w:rPr>
          <w:b/>
          <w:i/>
          <w:sz w:val="22"/>
          <w:szCs w:val="22"/>
        </w:rPr>
        <w:t xml:space="preserve">harpest </w:t>
      </w:r>
      <w:r w:rsidR="00B05080">
        <w:rPr>
          <w:b/>
          <w:i/>
          <w:sz w:val="22"/>
          <w:szCs w:val="22"/>
        </w:rPr>
        <w:t>D</w:t>
      </w:r>
      <w:r w:rsidRPr="004A6B89">
        <w:rPr>
          <w:b/>
          <w:i/>
          <w:sz w:val="22"/>
          <w:szCs w:val="22"/>
        </w:rPr>
        <w:t xml:space="preserve">ecline in </w:t>
      </w:r>
      <w:r w:rsidR="00B05080">
        <w:rPr>
          <w:b/>
          <w:i/>
          <w:sz w:val="22"/>
          <w:szCs w:val="22"/>
        </w:rPr>
        <w:t>S</w:t>
      </w:r>
      <w:r w:rsidRPr="004A6B89">
        <w:rPr>
          <w:b/>
          <w:i/>
          <w:sz w:val="22"/>
          <w:szCs w:val="22"/>
        </w:rPr>
        <w:t xml:space="preserve">hipments </w:t>
      </w:r>
      <w:proofErr w:type="gramStart"/>
      <w:r w:rsidR="00B05080">
        <w:rPr>
          <w:b/>
          <w:i/>
          <w:sz w:val="22"/>
          <w:szCs w:val="22"/>
        </w:rPr>
        <w:t>S</w:t>
      </w:r>
      <w:r w:rsidRPr="004A6B89">
        <w:rPr>
          <w:b/>
          <w:i/>
          <w:sz w:val="22"/>
          <w:szCs w:val="22"/>
        </w:rPr>
        <w:t>ince</w:t>
      </w:r>
      <w:proofErr w:type="gramEnd"/>
      <w:r w:rsidRPr="004A6B89">
        <w:rPr>
          <w:b/>
          <w:i/>
          <w:sz w:val="22"/>
          <w:szCs w:val="22"/>
        </w:rPr>
        <w:t xml:space="preserve"> Gartner </w:t>
      </w:r>
      <w:r w:rsidR="00B05080">
        <w:rPr>
          <w:b/>
          <w:i/>
          <w:sz w:val="22"/>
          <w:szCs w:val="22"/>
        </w:rPr>
        <w:t>R</w:t>
      </w:r>
      <w:r w:rsidRPr="004A6B89">
        <w:rPr>
          <w:b/>
          <w:i/>
          <w:sz w:val="22"/>
          <w:szCs w:val="22"/>
        </w:rPr>
        <w:t xml:space="preserve">ecords </w:t>
      </w:r>
      <w:r w:rsidR="00B05080">
        <w:rPr>
          <w:b/>
          <w:i/>
          <w:sz w:val="22"/>
          <w:szCs w:val="22"/>
        </w:rPr>
        <w:t>B</w:t>
      </w:r>
      <w:r w:rsidRPr="004A6B89">
        <w:rPr>
          <w:b/>
          <w:i/>
          <w:sz w:val="22"/>
          <w:szCs w:val="22"/>
        </w:rPr>
        <w:t>egan</w:t>
      </w:r>
    </w:p>
    <w:p w:rsidR="0099223E" w:rsidRPr="004A6B89" w:rsidRDefault="0099223E" w:rsidP="0099223E">
      <w:pPr>
        <w:pStyle w:val="contact"/>
        <w:tabs>
          <w:tab w:val="clear" w:pos="9180"/>
        </w:tabs>
        <w:rPr>
          <w:rFonts w:ascii="Arial" w:hAnsi="Arial"/>
        </w:rPr>
      </w:pPr>
      <w:r w:rsidRPr="004A6B89">
        <w:rPr>
          <w:rFonts w:ascii="Arial" w:hAnsi="Arial"/>
        </w:rPr>
        <w:t>STAMFORD, Conn.,</w:t>
      </w:r>
      <w:r w:rsidR="00924102">
        <w:rPr>
          <w:rFonts w:ascii="Arial" w:hAnsi="Arial"/>
        </w:rPr>
        <w:t xml:space="preserve"> 10</w:t>
      </w:r>
      <w:r w:rsidRPr="004A6B89">
        <w:rPr>
          <w:rFonts w:ascii="Arial" w:hAnsi="Arial"/>
        </w:rPr>
        <w:t xml:space="preserve"> April, 2013 — Worldwide PC shipments </w:t>
      </w:r>
      <w:r w:rsidR="00924102" w:rsidRPr="004A6B89">
        <w:rPr>
          <w:rFonts w:ascii="Arial" w:hAnsi="Arial"/>
        </w:rPr>
        <w:t>totalled</w:t>
      </w:r>
      <w:r w:rsidRPr="004A6B89">
        <w:rPr>
          <w:rFonts w:ascii="Arial" w:hAnsi="Arial"/>
        </w:rPr>
        <w:t xml:space="preserve"> 79.2 million units in the first quarter of 2013, </w:t>
      </w:r>
      <w:r w:rsidR="00924102" w:rsidRPr="004A6B89">
        <w:rPr>
          <w:rFonts w:ascii="Arial" w:hAnsi="Arial"/>
        </w:rPr>
        <w:t>an</w:t>
      </w:r>
      <w:r w:rsidRPr="004A6B89">
        <w:rPr>
          <w:rFonts w:ascii="Arial" w:hAnsi="Arial"/>
        </w:rPr>
        <w:t xml:space="preserve"> 11.2 </w:t>
      </w:r>
      <w:r w:rsidR="00924102">
        <w:rPr>
          <w:rFonts w:ascii="Arial" w:hAnsi="Arial"/>
        </w:rPr>
        <w:t>per cent</w:t>
      </w:r>
      <w:r w:rsidRPr="004A6B89">
        <w:rPr>
          <w:rFonts w:ascii="Arial" w:hAnsi="Arial"/>
        </w:rPr>
        <w:t xml:space="preserve"> decline from the first quarter of 2012, according to preliminary results by Gartner, Inc. Global PC shipments went below 80 million units for the first time since the second quarter of 2009. All regions showed a decrease in shipments, with the EMEA region experiencing the steepest decline.</w:t>
      </w:r>
    </w:p>
    <w:p w:rsidR="0099223E" w:rsidRPr="004A6B89" w:rsidRDefault="0099223E" w:rsidP="0099223E">
      <w:pPr>
        <w:pStyle w:val="contact"/>
        <w:tabs>
          <w:tab w:val="clear" w:pos="9180"/>
        </w:tabs>
        <w:rPr>
          <w:rFonts w:ascii="Arial" w:hAnsi="Arial"/>
        </w:rPr>
      </w:pPr>
    </w:p>
    <w:p w:rsidR="0099223E" w:rsidRPr="004A6B89" w:rsidRDefault="0099223E" w:rsidP="0099223E">
      <w:pPr>
        <w:pStyle w:val="contact"/>
        <w:tabs>
          <w:tab w:val="clear" w:pos="9180"/>
        </w:tabs>
        <w:rPr>
          <w:rFonts w:ascii="Arial" w:hAnsi="Arial" w:cs="Arial"/>
        </w:rPr>
      </w:pPr>
      <w:r w:rsidRPr="004A6B89">
        <w:rPr>
          <w:rFonts w:ascii="Arial" w:hAnsi="Arial"/>
        </w:rPr>
        <w:t xml:space="preserve">"In the first quarter of 2013, it was the fourth consecutive quarter that showed a drop in worldwide PC shipments," </w:t>
      </w:r>
      <w:r w:rsidRPr="004A6B89">
        <w:rPr>
          <w:rFonts w:ascii="Arial" w:hAnsi="Arial" w:cs="Arial"/>
        </w:rPr>
        <w:t xml:space="preserve">said Mikako Kitagawa, </w:t>
      </w:r>
      <w:r w:rsidRPr="004A6B89">
        <w:rPr>
          <w:rFonts w:ascii="Arial" w:hAnsi="Arial" w:cs="Arial"/>
          <w:szCs w:val="22"/>
        </w:rPr>
        <w:t>principal analyst</w:t>
      </w:r>
      <w:r w:rsidRPr="004A6B89">
        <w:rPr>
          <w:rFonts w:ascii="Arial" w:hAnsi="Arial" w:cs="Arial"/>
        </w:rPr>
        <w:t xml:space="preserve"> at Gartner. "Consumers are migrating content consumption from PCs to other connected devices, such as tablets and smartphones. Even emerging markets, where PC penetration is low, are not expected to be a strong growth area for PC vendors.</w:t>
      </w:r>
    </w:p>
    <w:p w:rsidR="0099223E" w:rsidRPr="004A6B89" w:rsidRDefault="0099223E" w:rsidP="0099223E">
      <w:pPr>
        <w:pStyle w:val="contact"/>
        <w:tabs>
          <w:tab w:val="clear" w:pos="9180"/>
        </w:tabs>
        <w:rPr>
          <w:rFonts w:ascii="Arial" w:hAnsi="Arial" w:cs="Arial"/>
        </w:rPr>
      </w:pPr>
    </w:p>
    <w:p w:rsidR="0099223E" w:rsidRPr="004A6B89" w:rsidRDefault="0099223E" w:rsidP="0099223E">
      <w:pPr>
        <w:pStyle w:val="contact"/>
        <w:tabs>
          <w:tab w:val="clear" w:pos="9180"/>
        </w:tabs>
        <w:rPr>
          <w:rFonts w:ascii="Arial" w:hAnsi="Arial" w:cs="Arial"/>
        </w:rPr>
      </w:pPr>
      <w:r w:rsidRPr="004A6B89">
        <w:rPr>
          <w:rFonts w:ascii="Arial" w:hAnsi="Arial" w:cs="Arial"/>
        </w:rPr>
        <w:t>"Unlike the consumer PC segment, the professional PC market, which accounts for about half of overall PC shipments, has seen growth, driven by continuing PC refreshes. Despite the fact that some regions already passed the peak of PC refresh, overall professional PC demand continued to grow."</w:t>
      </w:r>
    </w:p>
    <w:p w:rsidR="0099223E" w:rsidRPr="004A6B89" w:rsidRDefault="0099223E" w:rsidP="0099223E">
      <w:pPr>
        <w:pStyle w:val="contact"/>
        <w:tabs>
          <w:tab w:val="clear" w:pos="9180"/>
        </w:tabs>
        <w:rPr>
          <w:rFonts w:ascii="Arial" w:hAnsi="Arial" w:cs="Arial"/>
        </w:rPr>
      </w:pPr>
    </w:p>
    <w:p w:rsidR="0099223E" w:rsidRPr="004A6B89" w:rsidRDefault="0099223E" w:rsidP="0099223E">
      <w:pPr>
        <w:pStyle w:val="contact"/>
        <w:tabs>
          <w:tab w:val="clear" w:pos="9180"/>
        </w:tabs>
        <w:rPr>
          <w:rFonts w:ascii="Arial" w:hAnsi="Arial" w:cs="Arial"/>
        </w:rPr>
      </w:pPr>
      <w:r w:rsidRPr="004A6B89">
        <w:rPr>
          <w:rFonts w:ascii="Arial" w:hAnsi="Arial" w:cs="Arial"/>
        </w:rPr>
        <w:t xml:space="preserve">HP and Lenovo were in a virtual tie for the top position in the first quarter of 2013 (see Table 1). </w:t>
      </w:r>
      <w:r w:rsidRPr="004A6B89">
        <w:rPr>
          <w:rFonts w:ascii="Arial" w:hAnsi="Arial"/>
          <w:szCs w:val="22"/>
        </w:rPr>
        <w:t xml:space="preserve">HP had a very challenging quarter, as it recorded its worst shipment decline since the acquisition of Compaq in 2003. HP's consumer </w:t>
      </w:r>
      <w:r w:rsidRPr="004A6B89">
        <w:rPr>
          <w:rFonts w:ascii="Arial" w:hAnsi="Arial" w:cs="Arial"/>
        </w:rPr>
        <w:t>business negatively affected its</w:t>
      </w:r>
      <w:r w:rsidRPr="004A6B89">
        <w:rPr>
          <w:rFonts w:ascii="Arial" w:hAnsi="Arial"/>
          <w:szCs w:val="22"/>
        </w:rPr>
        <w:t xml:space="preserve"> overall shipment volume, but its professional business was also under attack by competitors.</w:t>
      </w:r>
    </w:p>
    <w:p w:rsidR="0099223E" w:rsidRPr="004A6B89" w:rsidRDefault="0099223E" w:rsidP="0099223E">
      <w:pPr>
        <w:pStyle w:val="contact"/>
        <w:tabs>
          <w:tab w:val="clear" w:pos="9180"/>
        </w:tabs>
        <w:rPr>
          <w:rFonts w:ascii="Arial" w:hAnsi="Arial"/>
        </w:rPr>
      </w:pPr>
    </w:p>
    <w:p w:rsidR="0099223E" w:rsidRPr="004A6B89" w:rsidRDefault="0099223E" w:rsidP="0099223E">
      <w:pPr>
        <w:jc w:val="left"/>
        <w:rPr>
          <w:b/>
          <w:sz w:val="22"/>
        </w:rPr>
      </w:pPr>
      <w:r w:rsidRPr="004A6B89">
        <w:rPr>
          <w:b/>
          <w:sz w:val="22"/>
          <w:szCs w:val="22"/>
        </w:rPr>
        <w:t>Table</w:t>
      </w:r>
      <w:r w:rsidRPr="004A6B89">
        <w:rPr>
          <w:b/>
          <w:sz w:val="22"/>
        </w:rPr>
        <w:t xml:space="preserve"> 1</w:t>
      </w:r>
      <w:r w:rsidRPr="004A6B89">
        <w:rPr>
          <w:b/>
          <w:sz w:val="22"/>
        </w:rPr>
        <w:br/>
        <w:t>Preliminary Worldwide PC Vendor Unit Shipment Estimates for 1Q13 (Units)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168"/>
        <w:gridCol w:w="1440"/>
        <w:gridCol w:w="1512"/>
        <w:gridCol w:w="1368"/>
        <w:gridCol w:w="1512"/>
        <w:gridCol w:w="1368"/>
      </w:tblGrid>
      <w:tr w:rsidR="0099223E" w:rsidRPr="004A6B89" w:rsidTr="00D65510">
        <w:tc>
          <w:tcPr>
            <w:tcW w:w="3168" w:type="dxa"/>
            <w:tcBorders>
              <w:top w:val="single" w:sz="6" w:space="0" w:color="auto"/>
              <w:bottom w:val="single" w:sz="6" w:space="0" w:color="auto"/>
            </w:tcBorders>
          </w:tcPr>
          <w:p w:rsidR="0099223E" w:rsidRPr="004A6B89" w:rsidRDefault="0099223E" w:rsidP="00D65510">
            <w:pPr>
              <w:pStyle w:val="HeadingJustified"/>
              <w:tabs>
                <w:tab w:val="decimal" w:pos="990"/>
                <w:tab w:val="decimal" w:pos="2070"/>
                <w:tab w:val="left" w:pos="2880"/>
                <w:tab w:val="decimal" w:pos="4140"/>
                <w:tab w:val="decimal" w:pos="4860"/>
                <w:tab w:val="decimal" w:pos="7020"/>
                <w:tab w:val="decimal" w:pos="7110"/>
              </w:tabs>
            </w:pPr>
            <w:r w:rsidRPr="004A6B89">
              <w:rPr>
                <w:b w:val="0"/>
              </w:rPr>
              <w:br/>
            </w:r>
            <w:r w:rsidRPr="004A6B89">
              <w:t>Company</w:t>
            </w:r>
          </w:p>
        </w:tc>
        <w:tc>
          <w:tcPr>
            <w:tcW w:w="1440"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1Q13 Shipments</w:t>
            </w:r>
          </w:p>
        </w:tc>
        <w:tc>
          <w:tcPr>
            <w:tcW w:w="1512"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1Q13 Market Share (%)</w:t>
            </w:r>
          </w:p>
        </w:tc>
        <w:tc>
          <w:tcPr>
            <w:tcW w:w="1368"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1Q12 Shipments</w:t>
            </w:r>
          </w:p>
        </w:tc>
        <w:tc>
          <w:tcPr>
            <w:tcW w:w="1512"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1Q12 Market Share (%)</w:t>
            </w:r>
          </w:p>
        </w:tc>
        <w:tc>
          <w:tcPr>
            <w:tcW w:w="1368"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1Q12-1Q13 Growth (%)</w:t>
            </w:r>
          </w:p>
        </w:tc>
      </w:tr>
      <w:tr w:rsidR="0099223E" w:rsidRPr="004A6B89" w:rsidTr="00D65510">
        <w:tc>
          <w:tcPr>
            <w:tcW w:w="3168" w:type="dxa"/>
            <w:tcBorders>
              <w:top w:val="nil"/>
            </w:tcBorders>
            <w:vAlign w:val="bottom"/>
          </w:tcPr>
          <w:p w:rsidR="0099223E" w:rsidRPr="00B05080" w:rsidRDefault="0099223E" w:rsidP="00D65510">
            <w:pPr>
              <w:rPr>
                <w:rFonts w:cs="Arial"/>
              </w:rPr>
            </w:pPr>
            <w:r w:rsidRPr="00B05080">
              <w:rPr>
                <w:rFonts w:cs="Arial"/>
              </w:rPr>
              <w:t>HP</w:t>
            </w:r>
          </w:p>
        </w:tc>
        <w:tc>
          <w:tcPr>
            <w:tcW w:w="1440" w:type="dxa"/>
            <w:tcBorders>
              <w:top w:val="nil"/>
            </w:tcBorders>
            <w:vAlign w:val="bottom"/>
          </w:tcPr>
          <w:p w:rsidR="0099223E" w:rsidRPr="00B05080" w:rsidRDefault="004842AD" w:rsidP="00D65510">
            <w:pPr>
              <w:jc w:val="right"/>
              <w:rPr>
                <w:rFonts w:cs="Arial"/>
              </w:rPr>
            </w:pPr>
            <w:r>
              <w:rPr>
                <w:rFonts w:cs="Arial"/>
              </w:rPr>
              <w:t>11,687,778</w:t>
            </w:r>
          </w:p>
        </w:tc>
        <w:tc>
          <w:tcPr>
            <w:tcW w:w="1512" w:type="dxa"/>
            <w:tcBorders>
              <w:top w:val="nil"/>
            </w:tcBorders>
            <w:vAlign w:val="bottom"/>
          </w:tcPr>
          <w:p w:rsidR="0099223E" w:rsidRPr="00B05080" w:rsidRDefault="004842AD" w:rsidP="00D65510">
            <w:pPr>
              <w:jc w:val="right"/>
              <w:rPr>
                <w:rFonts w:cs="Arial"/>
              </w:rPr>
            </w:pPr>
            <w:r>
              <w:rPr>
                <w:rFonts w:cs="Arial"/>
              </w:rPr>
              <w:t>14.8</w:t>
            </w:r>
          </w:p>
        </w:tc>
        <w:tc>
          <w:tcPr>
            <w:tcW w:w="1368" w:type="dxa"/>
            <w:tcBorders>
              <w:top w:val="nil"/>
            </w:tcBorders>
            <w:vAlign w:val="bottom"/>
          </w:tcPr>
          <w:p w:rsidR="0099223E" w:rsidRPr="00B05080" w:rsidRDefault="004842AD" w:rsidP="00D65510">
            <w:pPr>
              <w:jc w:val="right"/>
              <w:rPr>
                <w:rFonts w:cs="Arial"/>
              </w:rPr>
            </w:pPr>
            <w:r>
              <w:rPr>
                <w:rFonts w:cs="Arial"/>
              </w:rPr>
              <w:t>15,301,906</w:t>
            </w:r>
          </w:p>
        </w:tc>
        <w:tc>
          <w:tcPr>
            <w:tcW w:w="1512" w:type="dxa"/>
            <w:tcBorders>
              <w:top w:val="nil"/>
            </w:tcBorders>
            <w:vAlign w:val="bottom"/>
          </w:tcPr>
          <w:p w:rsidR="0099223E" w:rsidRPr="00B05080" w:rsidRDefault="004842AD" w:rsidP="00D65510">
            <w:pPr>
              <w:jc w:val="right"/>
              <w:rPr>
                <w:rFonts w:cs="Arial"/>
              </w:rPr>
            </w:pPr>
            <w:r>
              <w:rPr>
                <w:rFonts w:cs="Arial"/>
              </w:rPr>
              <w:t>17.2</w:t>
            </w:r>
          </w:p>
        </w:tc>
        <w:tc>
          <w:tcPr>
            <w:tcW w:w="1368" w:type="dxa"/>
            <w:tcBorders>
              <w:top w:val="nil"/>
            </w:tcBorders>
            <w:vAlign w:val="bottom"/>
          </w:tcPr>
          <w:p w:rsidR="0099223E" w:rsidRPr="00B05080" w:rsidRDefault="004842AD" w:rsidP="00D65510">
            <w:pPr>
              <w:jc w:val="right"/>
              <w:rPr>
                <w:rFonts w:cs="Arial"/>
              </w:rPr>
            </w:pPr>
            <w:r>
              <w:rPr>
                <w:rFonts w:cs="Arial"/>
              </w:rPr>
              <w:t>-23.6</w:t>
            </w:r>
          </w:p>
        </w:tc>
      </w:tr>
      <w:tr w:rsidR="0099223E" w:rsidRPr="004A6B89" w:rsidTr="00D65510">
        <w:tc>
          <w:tcPr>
            <w:tcW w:w="3168" w:type="dxa"/>
            <w:vAlign w:val="bottom"/>
          </w:tcPr>
          <w:p w:rsidR="0099223E" w:rsidRPr="00B05080" w:rsidRDefault="0099223E" w:rsidP="00D65510">
            <w:pPr>
              <w:rPr>
                <w:rFonts w:cs="Arial"/>
              </w:rPr>
            </w:pPr>
            <w:r w:rsidRPr="00B05080">
              <w:rPr>
                <w:rFonts w:cs="Arial"/>
              </w:rPr>
              <w:t>Lenovo</w:t>
            </w:r>
          </w:p>
        </w:tc>
        <w:tc>
          <w:tcPr>
            <w:tcW w:w="1440" w:type="dxa"/>
            <w:vAlign w:val="bottom"/>
          </w:tcPr>
          <w:p w:rsidR="0099223E" w:rsidRPr="00B05080" w:rsidRDefault="004842AD" w:rsidP="00D65510">
            <w:pPr>
              <w:jc w:val="right"/>
              <w:rPr>
                <w:rFonts w:cs="Arial"/>
              </w:rPr>
            </w:pPr>
            <w:r>
              <w:rPr>
                <w:rFonts w:cs="Arial"/>
              </w:rPr>
              <w:t>11,666,400</w:t>
            </w:r>
          </w:p>
        </w:tc>
        <w:tc>
          <w:tcPr>
            <w:tcW w:w="1512" w:type="dxa"/>
            <w:vAlign w:val="bottom"/>
          </w:tcPr>
          <w:p w:rsidR="0099223E" w:rsidRPr="00B05080" w:rsidRDefault="004842AD" w:rsidP="00D65510">
            <w:pPr>
              <w:jc w:val="right"/>
              <w:rPr>
                <w:rFonts w:cs="Arial"/>
              </w:rPr>
            </w:pPr>
            <w:r>
              <w:rPr>
                <w:rFonts w:cs="Arial"/>
              </w:rPr>
              <w:t>14.7</w:t>
            </w:r>
          </w:p>
        </w:tc>
        <w:tc>
          <w:tcPr>
            <w:tcW w:w="1368" w:type="dxa"/>
            <w:vAlign w:val="bottom"/>
          </w:tcPr>
          <w:p w:rsidR="0099223E" w:rsidRPr="00B05080" w:rsidRDefault="004842AD" w:rsidP="00D65510">
            <w:pPr>
              <w:jc w:val="right"/>
              <w:rPr>
                <w:rFonts w:cs="Arial"/>
              </w:rPr>
            </w:pPr>
            <w:r>
              <w:rPr>
                <w:rFonts w:cs="Arial"/>
              </w:rPr>
              <w:t>11,652,664</w:t>
            </w:r>
          </w:p>
        </w:tc>
        <w:tc>
          <w:tcPr>
            <w:tcW w:w="1512" w:type="dxa"/>
            <w:vAlign w:val="bottom"/>
          </w:tcPr>
          <w:p w:rsidR="0099223E" w:rsidRPr="00B05080" w:rsidRDefault="004842AD" w:rsidP="00D65510">
            <w:pPr>
              <w:jc w:val="right"/>
              <w:rPr>
                <w:rFonts w:cs="Arial"/>
              </w:rPr>
            </w:pPr>
            <w:r>
              <w:rPr>
                <w:rFonts w:cs="Arial"/>
              </w:rPr>
              <w:t>13.1</w:t>
            </w:r>
          </w:p>
        </w:tc>
        <w:tc>
          <w:tcPr>
            <w:tcW w:w="1368" w:type="dxa"/>
            <w:vAlign w:val="bottom"/>
          </w:tcPr>
          <w:p w:rsidR="0099223E" w:rsidRPr="00B05080" w:rsidRDefault="004842AD" w:rsidP="00D65510">
            <w:pPr>
              <w:jc w:val="right"/>
              <w:rPr>
                <w:rFonts w:cs="Arial"/>
              </w:rPr>
            </w:pPr>
            <w:r>
              <w:rPr>
                <w:rFonts w:cs="Arial"/>
              </w:rPr>
              <w:t>0.1</w:t>
            </w:r>
          </w:p>
        </w:tc>
      </w:tr>
      <w:tr w:rsidR="0099223E" w:rsidRPr="004A6B89" w:rsidTr="00D65510">
        <w:tc>
          <w:tcPr>
            <w:tcW w:w="3168" w:type="dxa"/>
            <w:vAlign w:val="bottom"/>
          </w:tcPr>
          <w:p w:rsidR="0099223E" w:rsidRPr="00B05080" w:rsidRDefault="0099223E" w:rsidP="00D65510">
            <w:pPr>
              <w:rPr>
                <w:rFonts w:cs="Arial"/>
              </w:rPr>
            </w:pPr>
            <w:r w:rsidRPr="00B05080">
              <w:rPr>
                <w:rFonts w:cs="Arial"/>
              </w:rPr>
              <w:t>Dell</w:t>
            </w:r>
          </w:p>
        </w:tc>
        <w:tc>
          <w:tcPr>
            <w:tcW w:w="1440" w:type="dxa"/>
            <w:vAlign w:val="bottom"/>
          </w:tcPr>
          <w:p w:rsidR="0099223E" w:rsidRPr="00B05080" w:rsidRDefault="004842AD" w:rsidP="00D65510">
            <w:pPr>
              <w:jc w:val="right"/>
              <w:rPr>
                <w:rFonts w:cs="Arial"/>
              </w:rPr>
            </w:pPr>
            <w:r>
              <w:rPr>
                <w:rFonts w:cs="Arial"/>
              </w:rPr>
              <w:t>8,734,892</w:t>
            </w:r>
          </w:p>
        </w:tc>
        <w:tc>
          <w:tcPr>
            <w:tcW w:w="1512" w:type="dxa"/>
            <w:vAlign w:val="bottom"/>
          </w:tcPr>
          <w:p w:rsidR="0099223E" w:rsidRPr="00B05080" w:rsidRDefault="004842AD" w:rsidP="00D65510">
            <w:pPr>
              <w:jc w:val="right"/>
              <w:rPr>
                <w:rFonts w:cs="Arial"/>
              </w:rPr>
            </w:pPr>
            <w:r>
              <w:rPr>
                <w:rFonts w:cs="Arial"/>
              </w:rPr>
              <w:t>11.0</w:t>
            </w:r>
          </w:p>
        </w:tc>
        <w:tc>
          <w:tcPr>
            <w:tcW w:w="1368" w:type="dxa"/>
            <w:vAlign w:val="bottom"/>
          </w:tcPr>
          <w:p w:rsidR="0099223E" w:rsidRPr="00B05080" w:rsidRDefault="004842AD" w:rsidP="00D65510">
            <w:pPr>
              <w:jc w:val="right"/>
              <w:rPr>
                <w:rFonts w:cs="Arial"/>
              </w:rPr>
            </w:pPr>
            <w:r>
              <w:rPr>
                <w:rFonts w:cs="Arial"/>
              </w:rPr>
              <w:t>9,838,121</w:t>
            </w:r>
          </w:p>
        </w:tc>
        <w:tc>
          <w:tcPr>
            <w:tcW w:w="1512" w:type="dxa"/>
            <w:vAlign w:val="bottom"/>
          </w:tcPr>
          <w:p w:rsidR="0099223E" w:rsidRPr="00B05080" w:rsidRDefault="004842AD" w:rsidP="00D65510">
            <w:pPr>
              <w:jc w:val="right"/>
              <w:rPr>
                <w:rFonts w:cs="Arial"/>
              </w:rPr>
            </w:pPr>
            <w:r>
              <w:rPr>
                <w:rFonts w:cs="Arial"/>
              </w:rPr>
              <w:t>11.0</w:t>
            </w:r>
          </w:p>
        </w:tc>
        <w:tc>
          <w:tcPr>
            <w:tcW w:w="1368" w:type="dxa"/>
            <w:vAlign w:val="bottom"/>
          </w:tcPr>
          <w:p w:rsidR="0099223E" w:rsidRPr="00B05080" w:rsidRDefault="004842AD" w:rsidP="00D65510">
            <w:pPr>
              <w:jc w:val="right"/>
              <w:rPr>
                <w:rFonts w:cs="Arial"/>
              </w:rPr>
            </w:pPr>
            <w:r>
              <w:rPr>
                <w:rFonts w:cs="Arial"/>
              </w:rPr>
              <w:t>-11.2</w:t>
            </w:r>
          </w:p>
        </w:tc>
      </w:tr>
      <w:tr w:rsidR="0099223E" w:rsidRPr="004A6B89" w:rsidTr="00D65510">
        <w:tc>
          <w:tcPr>
            <w:tcW w:w="3168" w:type="dxa"/>
            <w:vAlign w:val="bottom"/>
          </w:tcPr>
          <w:p w:rsidR="0099223E" w:rsidRPr="00B05080" w:rsidRDefault="0099223E" w:rsidP="00D65510">
            <w:pPr>
              <w:rPr>
                <w:rFonts w:cs="Arial"/>
              </w:rPr>
            </w:pPr>
            <w:r w:rsidRPr="00B05080">
              <w:rPr>
                <w:rFonts w:cs="Arial"/>
              </w:rPr>
              <w:t>Acer Group</w:t>
            </w:r>
          </w:p>
        </w:tc>
        <w:tc>
          <w:tcPr>
            <w:tcW w:w="1440" w:type="dxa"/>
            <w:vAlign w:val="bottom"/>
          </w:tcPr>
          <w:p w:rsidR="0099223E" w:rsidRPr="00B05080" w:rsidRDefault="004842AD" w:rsidP="00D65510">
            <w:pPr>
              <w:jc w:val="right"/>
              <w:rPr>
                <w:rFonts w:cs="Arial"/>
              </w:rPr>
            </w:pPr>
            <w:r>
              <w:rPr>
                <w:rFonts w:cs="Arial"/>
              </w:rPr>
              <w:t>6,843,184</w:t>
            </w:r>
          </w:p>
        </w:tc>
        <w:tc>
          <w:tcPr>
            <w:tcW w:w="1512" w:type="dxa"/>
            <w:vAlign w:val="bottom"/>
          </w:tcPr>
          <w:p w:rsidR="0099223E" w:rsidRPr="00B05080" w:rsidRDefault="004842AD" w:rsidP="00D65510">
            <w:pPr>
              <w:jc w:val="right"/>
              <w:rPr>
                <w:rFonts w:cs="Arial"/>
              </w:rPr>
            </w:pPr>
            <w:r>
              <w:rPr>
                <w:rFonts w:cs="Arial"/>
              </w:rPr>
              <w:t>8.6</w:t>
            </w:r>
          </w:p>
        </w:tc>
        <w:tc>
          <w:tcPr>
            <w:tcW w:w="1368" w:type="dxa"/>
            <w:vAlign w:val="bottom"/>
          </w:tcPr>
          <w:p w:rsidR="0099223E" w:rsidRPr="00B05080" w:rsidRDefault="004842AD" w:rsidP="00D65510">
            <w:pPr>
              <w:jc w:val="right"/>
              <w:rPr>
                <w:rFonts w:cs="Arial"/>
              </w:rPr>
            </w:pPr>
            <w:r>
              <w:rPr>
                <w:rFonts w:cs="Arial"/>
              </w:rPr>
              <w:t>9,582,046</w:t>
            </w:r>
          </w:p>
        </w:tc>
        <w:tc>
          <w:tcPr>
            <w:tcW w:w="1512" w:type="dxa"/>
            <w:vAlign w:val="bottom"/>
          </w:tcPr>
          <w:p w:rsidR="0099223E" w:rsidRPr="00B05080" w:rsidRDefault="004842AD" w:rsidP="00D65510">
            <w:pPr>
              <w:jc w:val="right"/>
              <w:rPr>
                <w:rFonts w:cs="Arial"/>
              </w:rPr>
            </w:pPr>
            <w:r>
              <w:rPr>
                <w:rFonts w:cs="Arial"/>
              </w:rPr>
              <w:t>10.9</w:t>
            </w:r>
          </w:p>
        </w:tc>
        <w:tc>
          <w:tcPr>
            <w:tcW w:w="1368" w:type="dxa"/>
            <w:vAlign w:val="bottom"/>
          </w:tcPr>
          <w:p w:rsidR="0099223E" w:rsidRPr="00B05080" w:rsidRDefault="004842AD" w:rsidP="00D65510">
            <w:pPr>
              <w:jc w:val="right"/>
              <w:rPr>
                <w:rFonts w:cs="Arial"/>
              </w:rPr>
            </w:pPr>
            <w:r>
              <w:rPr>
                <w:rFonts w:cs="Arial"/>
              </w:rPr>
              <w:t>-29.3</w:t>
            </w:r>
          </w:p>
        </w:tc>
      </w:tr>
      <w:tr w:rsidR="0099223E" w:rsidRPr="004A6B89" w:rsidTr="00D65510">
        <w:tc>
          <w:tcPr>
            <w:tcW w:w="3168" w:type="dxa"/>
            <w:vAlign w:val="bottom"/>
          </w:tcPr>
          <w:p w:rsidR="0099223E" w:rsidRPr="00B05080" w:rsidRDefault="0099223E" w:rsidP="00D65510">
            <w:pPr>
              <w:rPr>
                <w:rFonts w:cs="Arial"/>
              </w:rPr>
            </w:pPr>
            <w:r w:rsidRPr="00B05080">
              <w:rPr>
                <w:rFonts w:cs="Arial"/>
              </w:rPr>
              <w:t>Asus</w:t>
            </w:r>
          </w:p>
        </w:tc>
        <w:tc>
          <w:tcPr>
            <w:tcW w:w="1440" w:type="dxa"/>
            <w:vAlign w:val="bottom"/>
          </w:tcPr>
          <w:p w:rsidR="0099223E" w:rsidRPr="00B05080" w:rsidRDefault="004842AD" w:rsidP="00D65510">
            <w:pPr>
              <w:jc w:val="right"/>
              <w:rPr>
                <w:rFonts w:cs="Arial"/>
              </w:rPr>
            </w:pPr>
            <w:r>
              <w:rPr>
                <w:rFonts w:cs="Arial"/>
              </w:rPr>
              <w:t>5,360,470</w:t>
            </w:r>
          </w:p>
        </w:tc>
        <w:tc>
          <w:tcPr>
            <w:tcW w:w="1512" w:type="dxa"/>
            <w:vAlign w:val="bottom"/>
          </w:tcPr>
          <w:p w:rsidR="0099223E" w:rsidRPr="00B05080" w:rsidRDefault="004842AD" w:rsidP="00D65510">
            <w:pPr>
              <w:jc w:val="right"/>
              <w:rPr>
                <w:rFonts w:cs="Arial"/>
              </w:rPr>
            </w:pPr>
            <w:r>
              <w:rPr>
                <w:rFonts w:cs="Arial"/>
              </w:rPr>
              <w:t>6.8</w:t>
            </w:r>
          </w:p>
        </w:tc>
        <w:tc>
          <w:tcPr>
            <w:tcW w:w="1368" w:type="dxa"/>
            <w:vAlign w:val="bottom"/>
          </w:tcPr>
          <w:p w:rsidR="0099223E" w:rsidRPr="00B05080" w:rsidRDefault="004842AD" w:rsidP="00D65510">
            <w:pPr>
              <w:jc w:val="right"/>
              <w:rPr>
                <w:rFonts w:cs="Arial"/>
              </w:rPr>
            </w:pPr>
            <w:r>
              <w:rPr>
                <w:rFonts w:cs="Arial"/>
              </w:rPr>
              <w:t>5,552,329</w:t>
            </w:r>
          </w:p>
        </w:tc>
        <w:tc>
          <w:tcPr>
            <w:tcW w:w="1512" w:type="dxa"/>
            <w:vAlign w:val="bottom"/>
          </w:tcPr>
          <w:p w:rsidR="0099223E" w:rsidRPr="00B05080" w:rsidRDefault="004842AD" w:rsidP="00D65510">
            <w:pPr>
              <w:jc w:val="right"/>
              <w:rPr>
                <w:rFonts w:cs="Arial"/>
              </w:rPr>
            </w:pPr>
            <w:r>
              <w:rPr>
                <w:rFonts w:cs="Arial"/>
              </w:rPr>
              <w:t>6.2</w:t>
            </w:r>
          </w:p>
        </w:tc>
        <w:tc>
          <w:tcPr>
            <w:tcW w:w="1368" w:type="dxa"/>
            <w:vAlign w:val="bottom"/>
          </w:tcPr>
          <w:p w:rsidR="0099223E" w:rsidRPr="00B05080" w:rsidRDefault="004842AD" w:rsidP="00D65510">
            <w:pPr>
              <w:jc w:val="right"/>
              <w:rPr>
                <w:rFonts w:cs="Arial"/>
              </w:rPr>
            </w:pPr>
            <w:r>
              <w:rPr>
                <w:rFonts w:cs="Arial"/>
              </w:rPr>
              <w:t>-3.5</w:t>
            </w:r>
          </w:p>
        </w:tc>
      </w:tr>
      <w:tr w:rsidR="0099223E" w:rsidRPr="004A6B89" w:rsidTr="00D65510">
        <w:tc>
          <w:tcPr>
            <w:tcW w:w="3168" w:type="dxa"/>
          </w:tcPr>
          <w:p w:rsidR="0099223E" w:rsidRPr="00B05080" w:rsidRDefault="0099223E" w:rsidP="00D65510">
            <w:pPr>
              <w:pStyle w:val="CellBodyL"/>
              <w:rPr>
                <w:rFonts w:cs="Arial"/>
                <w:sz w:val="20"/>
              </w:rPr>
            </w:pPr>
            <w:r w:rsidRPr="00B05080">
              <w:rPr>
                <w:rFonts w:cs="Arial"/>
                <w:sz w:val="20"/>
              </w:rPr>
              <w:t>Others</w:t>
            </w:r>
          </w:p>
        </w:tc>
        <w:tc>
          <w:tcPr>
            <w:tcW w:w="1440" w:type="dxa"/>
            <w:vAlign w:val="bottom"/>
          </w:tcPr>
          <w:p w:rsidR="0099223E" w:rsidRPr="00B05080" w:rsidRDefault="004842AD" w:rsidP="00D65510">
            <w:pPr>
              <w:jc w:val="right"/>
              <w:rPr>
                <w:rFonts w:cs="Arial"/>
              </w:rPr>
            </w:pPr>
            <w:r>
              <w:rPr>
                <w:rFonts w:cs="Arial"/>
              </w:rPr>
              <w:t>34,914,286</w:t>
            </w:r>
          </w:p>
        </w:tc>
        <w:tc>
          <w:tcPr>
            <w:tcW w:w="1512" w:type="dxa"/>
            <w:vAlign w:val="bottom"/>
          </w:tcPr>
          <w:p w:rsidR="0099223E" w:rsidRPr="00B05080" w:rsidRDefault="004842AD" w:rsidP="00D65510">
            <w:pPr>
              <w:jc w:val="right"/>
              <w:rPr>
                <w:rFonts w:cs="Arial"/>
              </w:rPr>
            </w:pPr>
            <w:r>
              <w:rPr>
                <w:rFonts w:cs="Arial"/>
              </w:rPr>
              <w:t>44.1</w:t>
            </w:r>
          </w:p>
        </w:tc>
        <w:tc>
          <w:tcPr>
            <w:tcW w:w="1368" w:type="dxa"/>
            <w:vAlign w:val="bottom"/>
          </w:tcPr>
          <w:p w:rsidR="0099223E" w:rsidRPr="00B05080" w:rsidRDefault="004842AD" w:rsidP="00D65510">
            <w:pPr>
              <w:jc w:val="right"/>
              <w:rPr>
                <w:rFonts w:cs="Arial"/>
              </w:rPr>
            </w:pPr>
            <w:r>
              <w:rPr>
                <w:rFonts w:cs="Arial"/>
              </w:rPr>
              <w:t>37,170,712</w:t>
            </w:r>
          </w:p>
        </w:tc>
        <w:tc>
          <w:tcPr>
            <w:tcW w:w="1512" w:type="dxa"/>
            <w:vAlign w:val="bottom"/>
          </w:tcPr>
          <w:p w:rsidR="0099223E" w:rsidRPr="00B05080" w:rsidRDefault="004842AD" w:rsidP="00D65510">
            <w:pPr>
              <w:jc w:val="right"/>
              <w:rPr>
                <w:rFonts w:cs="Arial"/>
              </w:rPr>
            </w:pPr>
            <w:r>
              <w:rPr>
                <w:rFonts w:cs="Arial"/>
              </w:rPr>
              <w:t>41.7</w:t>
            </w:r>
          </w:p>
        </w:tc>
        <w:tc>
          <w:tcPr>
            <w:tcW w:w="1368" w:type="dxa"/>
            <w:vAlign w:val="bottom"/>
          </w:tcPr>
          <w:p w:rsidR="0099223E" w:rsidRPr="00B05080" w:rsidRDefault="004842AD" w:rsidP="00D65510">
            <w:pPr>
              <w:jc w:val="right"/>
              <w:rPr>
                <w:rFonts w:cs="Arial"/>
              </w:rPr>
            </w:pPr>
            <w:r>
              <w:rPr>
                <w:rFonts w:cs="Arial"/>
              </w:rPr>
              <w:t>-6.1</w:t>
            </w:r>
          </w:p>
        </w:tc>
      </w:tr>
      <w:tr w:rsidR="0099223E" w:rsidRPr="004A6B89" w:rsidTr="00D65510">
        <w:tc>
          <w:tcPr>
            <w:tcW w:w="3168" w:type="dxa"/>
          </w:tcPr>
          <w:p w:rsidR="0099223E" w:rsidRPr="00B05080" w:rsidRDefault="0099223E" w:rsidP="00D65510">
            <w:pPr>
              <w:pStyle w:val="CellBodyL"/>
              <w:rPr>
                <w:rFonts w:cs="Arial"/>
                <w:b/>
                <w:sz w:val="20"/>
              </w:rPr>
            </w:pPr>
            <w:r w:rsidRPr="00B05080">
              <w:rPr>
                <w:rFonts w:cs="Arial"/>
                <w:b/>
                <w:sz w:val="20"/>
              </w:rPr>
              <w:t>Total</w:t>
            </w:r>
          </w:p>
        </w:tc>
        <w:tc>
          <w:tcPr>
            <w:tcW w:w="1440" w:type="dxa"/>
            <w:vAlign w:val="bottom"/>
          </w:tcPr>
          <w:p w:rsidR="0099223E" w:rsidRPr="00B05080" w:rsidRDefault="004842AD" w:rsidP="00D65510">
            <w:pPr>
              <w:jc w:val="right"/>
              <w:rPr>
                <w:rFonts w:cs="Arial"/>
                <w:b/>
                <w:bCs/>
              </w:rPr>
            </w:pPr>
            <w:r>
              <w:rPr>
                <w:rFonts w:cs="Arial"/>
                <w:b/>
                <w:bCs/>
              </w:rPr>
              <w:t>79,207,010</w:t>
            </w:r>
          </w:p>
        </w:tc>
        <w:tc>
          <w:tcPr>
            <w:tcW w:w="1512" w:type="dxa"/>
            <w:vAlign w:val="bottom"/>
          </w:tcPr>
          <w:p w:rsidR="0099223E" w:rsidRPr="00B05080" w:rsidRDefault="004842AD" w:rsidP="00D65510">
            <w:pPr>
              <w:jc w:val="right"/>
              <w:rPr>
                <w:rFonts w:cs="Arial"/>
                <w:b/>
                <w:bCs/>
              </w:rPr>
            </w:pPr>
            <w:r>
              <w:rPr>
                <w:rFonts w:cs="Arial"/>
                <w:b/>
                <w:bCs/>
              </w:rPr>
              <w:t>100.0</w:t>
            </w:r>
          </w:p>
        </w:tc>
        <w:tc>
          <w:tcPr>
            <w:tcW w:w="1368" w:type="dxa"/>
            <w:vAlign w:val="bottom"/>
          </w:tcPr>
          <w:p w:rsidR="0099223E" w:rsidRPr="00B05080" w:rsidRDefault="004842AD" w:rsidP="00D65510">
            <w:pPr>
              <w:jc w:val="right"/>
              <w:rPr>
                <w:rFonts w:cs="Arial"/>
                <w:b/>
                <w:bCs/>
              </w:rPr>
            </w:pPr>
            <w:r>
              <w:rPr>
                <w:rFonts w:cs="Arial"/>
                <w:b/>
                <w:bCs/>
              </w:rPr>
              <w:t>89,197,778</w:t>
            </w:r>
          </w:p>
        </w:tc>
        <w:tc>
          <w:tcPr>
            <w:tcW w:w="1512" w:type="dxa"/>
            <w:vAlign w:val="bottom"/>
          </w:tcPr>
          <w:p w:rsidR="0099223E" w:rsidRPr="00B05080" w:rsidRDefault="004842AD" w:rsidP="00D65510">
            <w:pPr>
              <w:jc w:val="right"/>
              <w:rPr>
                <w:rFonts w:cs="Arial"/>
                <w:b/>
                <w:bCs/>
              </w:rPr>
            </w:pPr>
            <w:r>
              <w:rPr>
                <w:rFonts w:cs="Arial"/>
                <w:b/>
                <w:bCs/>
              </w:rPr>
              <w:t>100.0</w:t>
            </w:r>
          </w:p>
        </w:tc>
        <w:tc>
          <w:tcPr>
            <w:tcW w:w="1368" w:type="dxa"/>
            <w:vAlign w:val="bottom"/>
          </w:tcPr>
          <w:p w:rsidR="0099223E" w:rsidRPr="00B05080" w:rsidRDefault="004842AD" w:rsidP="00D65510">
            <w:pPr>
              <w:jc w:val="right"/>
              <w:rPr>
                <w:rFonts w:cs="Arial"/>
                <w:b/>
                <w:bCs/>
              </w:rPr>
            </w:pPr>
            <w:r>
              <w:rPr>
                <w:rFonts w:cs="Arial"/>
                <w:b/>
                <w:bCs/>
              </w:rPr>
              <w:t>-11.2</w:t>
            </w:r>
          </w:p>
        </w:tc>
      </w:tr>
    </w:tbl>
    <w:p w:rsidR="0099223E" w:rsidRPr="004A6B89" w:rsidRDefault="0099223E" w:rsidP="0099223E">
      <w:pPr>
        <w:jc w:val="left"/>
        <w:rPr>
          <w:sz w:val="16"/>
          <w:szCs w:val="16"/>
        </w:rPr>
      </w:pPr>
      <w:r w:rsidRPr="004A6B89">
        <w:rPr>
          <w:sz w:val="16"/>
          <w:szCs w:val="16"/>
        </w:rPr>
        <w:t>Note: Data includes desk-based PCs and mobile PCs, including mini-notebooks but not media tablets such as the iPad.</w:t>
      </w:r>
    </w:p>
    <w:p w:rsidR="0099223E" w:rsidRPr="004A6B89" w:rsidRDefault="0099223E" w:rsidP="0099223E">
      <w:pPr>
        <w:jc w:val="left"/>
        <w:rPr>
          <w:sz w:val="16"/>
        </w:rPr>
      </w:pPr>
      <w:r w:rsidRPr="004A6B89">
        <w:rPr>
          <w:sz w:val="16"/>
        </w:rPr>
        <w:t>Source: Gartner (April 2013)</w:t>
      </w:r>
    </w:p>
    <w:p w:rsidR="0099223E" w:rsidRPr="004A6B89" w:rsidRDefault="0099223E" w:rsidP="0099223E">
      <w:pPr>
        <w:pStyle w:val="contact"/>
        <w:tabs>
          <w:tab w:val="clear" w:pos="9180"/>
        </w:tabs>
        <w:rPr>
          <w:rFonts w:ascii="Arial" w:hAnsi="Arial"/>
          <w:szCs w:val="22"/>
        </w:rPr>
      </w:pPr>
    </w:p>
    <w:p w:rsidR="0099223E" w:rsidRPr="004A6B89" w:rsidRDefault="0099223E" w:rsidP="0099223E">
      <w:pPr>
        <w:pStyle w:val="contact"/>
        <w:tabs>
          <w:tab w:val="clear" w:pos="9180"/>
        </w:tabs>
        <w:rPr>
          <w:rFonts w:ascii="Arial" w:hAnsi="Arial"/>
          <w:szCs w:val="22"/>
        </w:rPr>
      </w:pPr>
      <w:r w:rsidRPr="004A6B89">
        <w:rPr>
          <w:rFonts w:ascii="Arial" w:hAnsi="Arial"/>
          <w:szCs w:val="22"/>
        </w:rPr>
        <w:t xml:space="preserve">Lenovo's worldwide PC shipments were flat compared with a year ago. While its shipment growth rate exceeded the overall industry average, it was Lenovo's slowest growth since the first quarter of 2009. The </w:t>
      </w:r>
      <w:r w:rsidRPr="004A6B89">
        <w:rPr>
          <w:rFonts w:ascii="Arial" w:hAnsi="Arial"/>
          <w:szCs w:val="22"/>
        </w:rPr>
        <w:lastRenderedPageBreak/>
        <w:t xml:space="preserve">slowdown was attributed to a shipment decline in Asia/Pacific, where more than 50 </w:t>
      </w:r>
      <w:r w:rsidR="00924102">
        <w:rPr>
          <w:rFonts w:ascii="Arial" w:hAnsi="Arial"/>
          <w:szCs w:val="22"/>
        </w:rPr>
        <w:t>per cent</w:t>
      </w:r>
      <w:r w:rsidRPr="004A6B89">
        <w:rPr>
          <w:rFonts w:ascii="Arial" w:hAnsi="Arial"/>
          <w:szCs w:val="22"/>
        </w:rPr>
        <w:t xml:space="preserve"> of Lenovo's PCs were shipped.</w:t>
      </w:r>
    </w:p>
    <w:p w:rsidR="0099223E" w:rsidRPr="004A6B89" w:rsidRDefault="0099223E" w:rsidP="0099223E">
      <w:pPr>
        <w:pStyle w:val="contact"/>
        <w:tabs>
          <w:tab w:val="clear" w:pos="9180"/>
        </w:tabs>
        <w:rPr>
          <w:rFonts w:ascii="Arial" w:hAnsi="Arial"/>
          <w:szCs w:val="22"/>
        </w:rPr>
      </w:pPr>
    </w:p>
    <w:p w:rsidR="0099223E" w:rsidRPr="004A6B89" w:rsidRDefault="0099223E" w:rsidP="0099223E">
      <w:pPr>
        <w:pStyle w:val="contact"/>
        <w:tabs>
          <w:tab w:val="clear" w:pos="9180"/>
        </w:tabs>
        <w:rPr>
          <w:rFonts w:ascii="Arial" w:hAnsi="Arial"/>
          <w:szCs w:val="22"/>
        </w:rPr>
      </w:pPr>
      <w:r w:rsidRPr="004A6B89">
        <w:rPr>
          <w:rFonts w:ascii="Arial" w:hAnsi="Arial"/>
          <w:szCs w:val="22"/>
        </w:rPr>
        <w:t>Dell also had a challenging quarter, registering a shipment decline in all regions except Japan. In Gartner's preliminary view, Dell's shipment growth in Japan was boosted by moderate demand, driven by a corporate refresh. Dell's discussions about a possible leveraged buyout impacted shipments, as competitors aggressively attacked Dell's position in the professional market.</w:t>
      </w:r>
    </w:p>
    <w:p w:rsidR="0099223E" w:rsidRPr="004A6B89" w:rsidRDefault="0099223E" w:rsidP="0099223E">
      <w:pPr>
        <w:pStyle w:val="contact"/>
        <w:tabs>
          <w:tab w:val="clear" w:pos="9180"/>
        </w:tabs>
        <w:rPr>
          <w:rFonts w:ascii="Arial" w:hAnsi="Arial"/>
          <w:szCs w:val="22"/>
        </w:rPr>
      </w:pPr>
    </w:p>
    <w:p w:rsidR="0099223E" w:rsidRPr="004A6B89" w:rsidRDefault="0099223E" w:rsidP="0099223E">
      <w:pPr>
        <w:pStyle w:val="contact"/>
        <w:tabs>
          <w:tab w:val="clear" w:pos="9180"/>
        </w:tabs>
        <w:rPr>
          <w:rFonts w:ascii="Arial" w:hAnsi="Arial"/>
          <w:szCs w:val="22"/>
        </w:rPr>
      </w:pPr>
      <w:r w:rsidRPr="004A6B89">
        <w:rPr>
          <w:rFonts w:ascii="Arial" w:hAnsi="Arial"/>
          <w:szCs w:val="22"/>
        </w:rPr>
        <w:t xml:space="preserve">In the US market, PC shipments </w:t>
      </w:r>
      <w:r w:rsidR="00924102" w:rsidRPr="004A6B89">
        <w:rPr>
          <w:rFonts w:ascii="Arial" w:hAnsi="Arial"/>
          <w:szCs w:val="22"/>
        </w:rPr>
        <w:t>totalled</w:t>
      </w:r>
      <w:r w:rsidRPr="004A6B89">
        <w:rPr>
          <w:rFonts w:ascii="Arial" w:hAnsi="Arial"/>
          <w:szCs w:val="22"/>
        </w:rPr>
        <w:t xml:space="preserve"> 14.2 million units in the first quarter of 2013, a 9.6 </w:t>
      </w:r>
      <w:r w:rsidR="00924102">
        <w:rPr>
          <w:rFonts w:ascii="Arial" w:hAnsi="Arial"/>
          <w:szCs w:val="22"/>
        </w:rPr>
        <w:t>per cent</w:t>
      </w:r>
      <w:r w:rsidRPr="004A6B89">
        <w:rPr>
          <w:rFonts w:ascii="Arial" w:hAnsi="Arial"/>
          <w:szCs w:val="22"/>
        </w:rPr>
        <w:t xml:space="preserve"> decline from the first quarter of 2012 (see Table 2). It marked a record of six consecutive quarters of shipment declines.</w:t>
      </w:r>
    </w:p>
    <w:p w:rsidR="0099223E" w:rsidRPr="004A6B89" w:rsidRDefault="0099223E" w:rsidP="0099223E">
      <w:pPr>
        <w:pStyle w:val="contact"/>
        <w:tabs>
          <w:tab w:val="clear" w:pos="9180"/>
        </w:tabs>
        <w:rPr>
          <w:rFonts w:ascii="Arial" w:hAnsi="Arial" w:cs="Arial"/>
          <w:szCs w:val="22"/>
        </w:rPr>
      </w:pPr>
    </w:p>
    <w:p w:rsidR="0099223E" w:rsidRPr="004A6B89" w:rsidRDefault="0099223E" w:rsidP="0099223E">
      <w:pPr>
        <w:pStyle w:val="contact"/>
        <w:tabs>
          <w:tab w:val="clear" w:pos="9180"/>
        </w:tabs>
        <w:rPr>
          <w:rFonts w:ascii="Arial" w:hAnsi="Arial" w:cs="Arial"/>
        </w:rPr>
      </w:pPr>
      <w:r w:rsidRPr="004A6B89">
        <w:rPr>
          <w:rFonts w:ascii="Arial" w:hAnsi="Arial" w:cs="Arial"/>
          <w:szCs w:val="22"/>
        </w:rPr>
        <w:t>"</w:t>
      </w:r>
      <w:r w:rsidRPr="004A6B89">
        <w:rPr>
          <w:rFonts w:ascii="Arial" w:hAnsi="Arial" w:cs="Arial"/>
        </w:rPr>
        <w:t xml:space="preserve">Although the overall economy had some upward momentum, it did not help buoy PC growth, suggesting the economic recovery is having little impact on PC market conditions," </w:t>
      </w:r>
      <w:r w:rsidR="00924102">
        <w:rPr>
          <w:rFonts w:ascii="Arial" w:hAnsi="Arial" w:cs="Arial"/>
        </w:rPr>
        <w:t>Ms</w:t>
      </w:r>
      <w:r w:rsidRPr="004A6B89">
        <w:rPr>
          <w:rFonts w:ascii="Arial" w:hAnsi="Arial" w:cs="Arial"/>
        </w:rPr>
        <w:t xml:space="preserve"> Kitagawa said. "Similar to other mature markets, the </w:t>
      </w:r>
      <w:r w:rsidR="00924102">
        <w:rPr>
          <w:rFonts w:ascii="Arial" w:hAnsi="Arial" w:cs="Arial"/>
        </w:rPr>
        <w:t>US</w:t>
      </w:r>
      <w:r w:rsidRPr="004A6B89">
        <w:rPr>
          <w:rFonts w:ascii="Arial" w:hAnsi="Arial" w:cs="Arial"/>
        </w:rPr>
        <w:t xml:space="preserve"> will see the installed base of consumer PCs decrease going forward. This is because many of these systems will not be replaced with PCs; they will be displaced by other devices, or simply retired."</w:t>
      </w:r>
    </w:p>
    <w:p w:rsidR="0099223E" w:rsidRPr="004A6B89" w:rsidRDefault="0099223E" w:rsidP="0099223E">
      <w:pPr>
        <w:pStyle w:val="contact"/>
        <w:tabs>
          <w:tab w:val="clear" w:pos="9180"/>
        </w:tabs>
        <w:rPr>
          <w:rFonts w:ascii="Arial" w:hAnsi="Arial" w:cs="Arial"/>
          <w:szCs w:val="22"/>
        </w:rPr>
      </w:pPr>
    </w:p>
    <w:p w:rsidR="0099223E" w:rsidRPr="004A6B89" w:rsidRDefault="0099223E" w:rsidP="0099223E">
      <w:pPr>
        <w:jc w:val="left"/>
        <w:rPr>
          <w:rFonts w:cs="Arial"/>
          <w:sz w:val="22"/>
          <w:szCs w:val="22"/>
        </w:rPr>
      </w:pPr>
      <w:r w:rsidRPr="004A6B89">
        <w:rPr>
          <w:rFonts w:cs="Arial"/>
          <w:sz w:val="22"/>
          <w:szCs w:val="22"/>
        </w:rPr>
        <w:t xml:space="preserve">Apple and Lenovo were the only vendors among the top five in the </w:t>
      </w:r>
      <w:r w:rsidR="00924102">
        <w:rPr>
          <w:rFonts w:cs="Arial"/>
          <w:sz w:val="22"/>
          <w:szCs w:val="22"/>
        </w:rPr>
        <w:t>US</w:t>
      </w:r>
      <w:r w:rsidRPr="004A6B89">
        <w:rPr>
          <w:rFonts w:cs="Arial"/>
          <w:sz w:val="22"/>
          <w:szCs w:val="22"/>
        </w:rPr>
        <w:t xml:space="preserve"> to experience PC shipment growth in the first quarter of 2013. HP held onto the top position, accounting for 24.2 </w:t>
      </w:r>
      <w:r w:rsidR="00924102">
        <w:rPr>
          <w:rFonts w:cs="Arial"/>
          <w:sz w:val="22"/>
          <w:szCs w:val="22"/>
        </w:rPr>
        <w:t>per cent</w:t>
      </w:r>
      <w:r w:rsidRPr="004A6B89">
        <w:rPr>
          <w:rFonts w:cs="Arial"/>
          <w:sz w:val="22"/>
          <w:szCs w:val="22"/>
        </w:rPr>
        <w:t xml:space="preserve"> of PC shipments in the </w:t>
      </w:r>
      <w:r w:rsidR="00924102">
        <w:rPr>
          <w:rFonts w:cs="Arial"/>
          <w:sz w:val="22"/>
          <w:szCs w:val="22"/>
        </w:rPr>
        <w:t>US</w:t>
      </w:r>
      <w:r w:rsidRPr="004A6B89">
        <w:rPr>
          <w:rFonts w:cs="Arial"/>
          <w:sz w:val="22"/>
          <w:szCs w:val="22"/>
        </w:rPr>
        <w:t xml:space="preserve">; however, its shipments declined 23.3 </w:t>
      </w:r>
      <w:r w:rsidR="00924102">
        <w:rPr>
          <w:rFonts w:cs="Arial"/>
          <w:sz w:val="22"/>
          <w:szCs w:val="22"/>
        </w:rPr>
        <w:t>per cent</w:t>
      </w:r>
      <w:r w:rsidRPr="004A6B89">
        <w:rPr>
          <w:rFonts w:cs="Arial"/>
          <w:sz w:val="22"/>
          <w:szCs w:val="22"/>
        </w:rPr>
        <w:t xml:space="preserve"> from the first quarter of 2012.</w:t>
      </w:r>
    </w:p>
    <w:p w:rsidR="0099223E" w:rsidRPr="004A6B89" w:rsidRDefault="0099223E" w:rsidP="0099223E">
      <w:pPr>
        <w:jc w:val="left"/>
        <w:rPr>
          <w:rFonts w:cs="Arial"/>
          <w:sz w:val="22"/>
          <w:szCs w:val="22"/>
        </w:rPr>
      </w:pPr>
    </w:p>
    <w:p w:rsidR="0099223E" w:rsidRPr="004A6B89" w:rsidRDefault="0099223E" w:rsidP="0099223E">
      <w:pPr>
        <w:jc w:val="left"/>
        <w:rPr>
          <w:b/>
          <w:sz w:val="22"/>
        </w:rPr>
      </w:pPr>
      <w:r w:rsidRPr="004A6B89">
        <w:rPr>
          <w:b/>
          <w:sz w:val="22"/>
        </w:rPr>
        <w:t>Table 2</w:t>
      </w:r>
      <w:r w:rsidRPr="004A6B89">
        <w:rPr>
          <w:b/>
          <w:sz w:val="22"/>
        </w:rPr>
        <w:br/>
        <w:t xml:space="preserve">Preliminary </w:t>
      </w:r>
      <w:r w:rsidR="00924102">
        <w:rPr>
          <w:b/>
          <w:sz w:val="22"/>
        </w:rPr>
        <w:t>US</w:t>
      </w:r>
      <w:r w:rsidRPr="004A6B89">
        <w:rPr>
          <w:b/>
          <w:sz w:val="22"/>
        </w:rPr>
        <w:t xml:space="preserve"> PC Vendor Unit Shipment Estimates for 1Q13 (Units)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168"/>
        <w:gridCol w:w="1440"/>
        <w:gridCol w:w="1512"/>
        <w:gridCol w:w="1368"/>
        <w:gridCol w:w="1512"/>
        <w:gridCol w:w="1368"/>
      </w:tblGrid>
      <w:tr w:rsidR="0099223E" w:rsidRPr="004A6B89" w:rsidTr="00D65510">
        <w:tc>
          <w:tcPr>
            <w:tcW w:w="3168" w:type="dxa"/>
            <w:tcBorders>
              <w:top w:val="single" w:sz="6" w:space="0" w:color="auto"/>
              <w:bottom w:val="single" w:sz="6" w:space="0" w:color="auto"/>
            </w:tcBorders>
          </w:tcPr>
          <w:p w:rsidR="0099223E" w:rsidRPr="004A6B89" w:rsidRDefault="0099223E" w:rsidP="00D65510">
            <w:pPr>
              <w:pStyle w:val="HeadingJustified"/>
              <w:tabs>
                <w:tab w:val="decimal" w:pos="990"/>
                <w:tab w:val="decimal" w:pos="2070"/>
                <w:tab w:val="left" w:pos="2880"/>
                <w:tab w:val="decimal" w:pos="4140"/>
                <w:tab w:val="decimal" w:pos="4860"/>
                <w:tab w:val="decimal" w:pos="7020"/>
                <w:tab w:val="decimal" w:pos="7110"/>
              </w:tabs>
            </w:pPr>
            <w:r w:rsidRPr="004A6B89">
              <w:rPr>
                <w:b w:val="0"/>
              </w:rPr>
              <w:br/>
            </w:r>
            <w:r w:rsidRPr="004A6B89">
              <w:t>Company</w:t>
            </w:r>
          </w:p>
        </w:tc>
        <w:tc>
          <w:tcPr>
            <w:tcW w:w="1440"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1Q13 Shipments</w:t>
            </w:r>
          </w:p>
        </w:tc>
        <w:tc>
          <w:tcPr>
            <w:tcW w:w="1512"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1Q13 Market Share (%)</w:t>
            </w:r>
          </w:p>
        </w:tc>
        <w:tc>
          <w:tcPr>
            <w:tcW w:w="1368"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1Q12 Shipments</w:t>
            </w:r>
          </w:p>
        </w:tc>
        <w:tc>
          <w:tcPr>
            <w:tcW w:w="1512"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1Q12 Market Share (%)</w:t>
            </w:r>
          </w:p>
        </w:tc>
        <w:tc>
          <w:tcPr>
            <w:tcW w:w="1368" w:type="dxa"/>
            <w:tcBorders>
              <w:top w:val="single" w:sz="6" w:space="0" w:color="auto"/>
              <w:bottom w:val="single" w:sz="6" w:space="0" w:color="auto"/>
            </w:tcBorders>
          </w:tcPr>
          <w:p w:rsidR="0099223E" w:rsidRPr="004A6B89" w:rsidRDefault="0099223E" w:rsidP="00D65510">
            <w:pPr>
              <w:tabs>
                <w:tab w:val="decimal" w:pos="990"/>
                <w:tab w:val="decimal" w:pos="2070"/>
                <w:tab w:val="left" w:pos="2880"/>
                <w:tab w:val="decimal" w:pos="4140"/>
                <w:tab w:val="decimal" w:pos="4860"/>
                <w:tab w:val="decimal" w:pos="7020"/>
                <w:tab w:val="decimal" w:pos="7110"/>
              </w:tabs>
              <w:jc w:val="right"/>
              <w:rPr>
                <w:b/>
              </w:rPr>
            </w:pPr>
            <w:r w:rsidRPr="004A6B89">
              <w:rPr>
                <w:b/>
              </w:rPr>
              <w:t>1Q1</w:t>
            </w:r>
            <w:r w:rsidR="00B05080">
              <w:rPr>
                <w:b/>
              </w:rPr>
              <w:t>2</w:t>
            </w:r>
            <w:r w:rsidRPr="004A6B89">
              <w:rPr>
                <w:b/>
              </w:rPr>
              <w:t>-1Q1</w:t>
            </w:r>
            <w:r w:rsidR="00B05080">
              <w:rPr>
                <w:b/>
              </w:rPr>
              <w:t>3</w:t>
            </w:r>
            <w:r w:rsidRPr="004A6B89">
              <w:rPr>
                <w:b/>
              </w:rPr>
              <w:t xml:space="preserve"> Growth (%)</w:t>
            </w:r>
          </w:p>
        </w:tc>
      </w:tr>
      <w:tr w:rsidR="0099223E" w:rsidRPr="004A6B89" w:rsidTr="00D65510">
        <w:tc>
          <w:tcPr>
            <w:tcW w:w="3168" w:type="dxa"/>
            <w:tcBorders>
              <w:top w:val="nil"/>
            </w:tcBorders>
            <w:vAlign w:val="bottom"/>
          </w:tcPr>
          <w:p w:rsidR="0099223E" w:rsidRPr="004A6B89" w:rsidRDefault="0099223E" w:rsidP="00D65510">
            <w:pPr>
              <w:rPr>
                <w:rFonts w:cs="Arial"/>
                <w:color w:val="000000"/>
              </w:rPr>
            </w:pPr>
            <w:r w:rsidRPr="004A6B89">
              <w:rPr>
                <w:rFonts w:cs="Arial"/>
              </w:rPr>
              <w:t>HP</w:t>
            </w:r>
          </w:p>
        </w:tc>
        <w:tc>
          <w:tcPr>
            <w:tcW w:w="1440" w:type="dxa"/>
            <w:tcBorders>
              <w:top w:val="nil"/>
            </w:tcBorders>
            <w:vAlign w:val="bottom"/>
          </w:tcPr>
          <w:p w:rsidR="0099223E" w:rsidRPr="004A6B89" w:rsidRDefault="0099223E" w:rsidP="00D65510">
            <w:pPr>
              <w:jc w:val="right"/>
              <w:rPr>
                <w:rFonts w:cs="Arial"/>
                <w:color w:val="000000"/>
              </w:rPr>
            </w:pPr>
            <w:r w:rsidRPr="004A6B89">
              <w:rPr>
                <w:rFonts w:cs="Arial"/>
              </w:rPr>
              <w:t>3,447,894</w:t>
            </w:r>
          </w:p>
        </w:tc>
        <w:tc>
          <w:tcPr>
            <w:tcW w:w="1512" w:type="dxa"/>
            <w:tcBorders>
              <w:top w:val="nil"/>
            </w:tcBorders>
            <w:vAlign w:val="bottom"/>
          </w:tcPr>
          <w:p w:rsidR="0099223E" w:rsidRPr="004A6B89" w:rsidRDefault="0099223E" w:rsidP="00D65510">
            <w:pPr>
              <w:jc w:val="right"/>
              <w:rPr>
                <w:rFonts w:cs="Arial"/>
                <w:color w:val="000000"/>
              </w:rPr>
            </w:pPr>
            <w:r w:rsidRPr="004A6B89">
              <w:rPr>
                <w:rFonts w:cs="Arial"/>
              </w:rPr>
              <w:t>24.2</w:t>
            </w:r>
          </w:p>
        </w:tc>
        <w:tc>
          <w:tcPr>
            <w:tcW w:w="1368" w:type="dxa"/>
            <w:tcBorders>
              <w:top w:val="nil"/>
            </w:tcBorders>
            <w:vAlign w:val="bottom"/>
          </w:tcPr>
          <w:p w:rsidR="0099223E" w:rsidRPr="004A6B89" w:rsidRDefault="0099223E" w:rsidP="00D65510">
            <w:pPr>
              <w:jc w:val="right"/>
              <w:rPr>
                <w:rFonts w:cs="Arial"/>
                <w:color w:val="000000"/>
              </w:rPr>
            </w:pPr>
            <w:r w:rsidRPr="004A6B89">
              <w:rPr>
                <w:rFonts w:cs="Arial"/>
              </w:rPr>
              <w:t>4,493,572</w:t>
            </w:r>
          </w:p>
        </w:tc>
        <w:tc>
          <w:tcPr>
            <w:tcW w:w="1512" w:type="dxa"/>
            <w:tcBorders>
              <w:top w:val="nil"/>
            </w:tcBorders>
            <w:vAlign w:val="bottom"/>
          </w:tcPr>
          <w:p w:rsidR="0099223E" w:rsidRPr="004A6B89" w:rsidRDefault="0099223E" w:rsidP="00D65510">
            <w:pPr>
              <w:jc w:val="right"/>
              <w:rPr>
                <w:rFonts w:cs="Arial"/>
                <w:color w:val="000000"/>
              </w:rPr>
            </w:pPr>
            <w:r w:rsidRPr="004A6B89">
              <w:rPr>
                <w:rFonts w:cs="Arial"/>
              </w:rPr>
              <w:t>28.5</w:t>
            </w:r>
          </w:p>
        </w:tc>
        <w:tc>
          <w:tcPr>
            <w:tcW w:w="1368" w:type="dxa"/>
            <w:tcBorders>
              <w:top w:val="nil"/>
            </w:tcBorders>
            <w:vAlign w:val="bottom"/>
          </w:tcPr>
          <w:p w:rsidR="0099223E" w:rsidRPr="004A6B89" w:rsidRDefault="0099223E" w:rsidP="00D65510">
            <w:pPr>
              <w:jc w:val="right"/>
              <w:rPr>
                <w:rFonts w:cs="Arial"/>
              </w:rPr>
            </w:pPr>
            <w:r w:rsidRPr="004A6B89">
              <w:rPr>
                <w:rFonts w:cs="Arial"/>
              </w:rPr>
              <w:t>-23.3</w:t>
            </w:r>
          </w:p>
        </w:tc>
      </w:tr>
      <w:tr w:rsidR="0099223E" w:rsidRPr="004A6B89" w:rsidTr="00D65510">
        <w:tc>
          <w:tcPr>
            <w:tcW w:w="3168" w:type="dxa"/>
            <w:vAlign w:val="bottom"/>
          </w:tcPr>
          <w:p w:rsidR="0099223E" w:rsidRPr="004A6B89" w:rsidRDefault="0099223E" w:rsidP="00D65510">
            <w:pPr>
              <w:rPr>
                <w:rFonts w:cs="Arial"/>
                <w:color w:val="000000"/>
              </w:rPr>
            </w:pPr>
            <w:r w:rsidRPr="004A6B89">
              <w:rPr>
                <w:rFonts w:cs="Arial"/>
              </w:rPr>
              <w:t>Dell</w:t>
            </w:r>
          </w:p>
        </w:tc>
        <w:tc>
          <w:tcPr>
            <w:tcW w:w="1440" w:type="dxa"/>
            <w:vAlign w:val="bottom"/>
          </w:tcPr>
          <w:p w:rsidR="0099223E" w:rsidRPr="004A6B89" w:rsidRDefault="0099223E" w:rsidP="00D65510">
            <w:pPr>
              <w:jc w:val="right"/>
              <w:rPr>
                <w:rFonts w:cs="Arial"/>
                <w:color w:val="000000"/>
              </w:rPr>
            </w:pPr>
            <w:r w:rsidRPr="004A6B89">
              <w:rPr>
                <w:rFonts w:cs="Arial"/>
              </w:rPr>
              <w:t>2,956,661</w:t>
            </w:r>
          </w:p>
        </w:tc>
        <w:tc>
          <w:tcPr>
            <w:tcW w:w="1512" w:type="dxa"/>
            <w:vAlign w:val="bottom"/>
          </w:tcPr>
          <w:p w:rsidR="0099223E" w:rsidRPr="004A6B89" w:rsidRDefault="0099223E" w:rsidP="00D65510">
            <w:pPr>
              <w:jc w:val="right"/>
              <w:rPr>
                <w:rFonts w:cs="Arial"/>
                <w:color w:val="000000"/>
              </w:rPr>
            </w:pPr>
            <w:r w:rsidRPr="004A6B89">
              <w:rPr>
                <w:rFonts w:cs="Arial"/>
              </w:rPr>
              <w:t>20.8</w:t>
            </w:r>
          </w:p>
        </w:tc>
        <w:tc>
          <w:tcPr>
            <w:tcW w:w="1368" w:type="dxa"/>
            <w:vAlign w:val="bottom"/>
          </w:tcPr>
          <w:p w:rsidR="0099223E" w:rsidRPr="004A6B89" w:rsidRDefault="0099223E" w:rsidP="00D65510">
            <w:pPr>
              <w:jc w:val="right"/>
              <w:rPr>
                <w:rFonts w:cs="Arial"/>
                <w:color w:val="000000"/>
              </w:rPr>
            </w:pPr>
            <w:r w:rsidRPr="004A6B89">
              <w:rPr>
                <w:rFonts w:cs="Arial"/>
              </w:rPr>
              <w:t>3,459,925</w:t>
            </w:r>
          </w:p>
        </w:tc>
        <w:tc>
          <w:tcPr>
            <w:tcW w:w="1512" w:type="dxa"/>
            <w:vAlign w:val="bottom"/>
          </w:tcPr>
          <w:p w:rsidR="0099223E" w:rsidRPr="004A6B89" w:rsidRDefault="0099223E" w:rsidP="00D65510">
            <w:pPr>
              <w:jc w:val="right"/>
              <w:rPr>
                <w:rFonts w:cs="Arial"/>
                <w:color w:val="000000"/>
              </w:rPr>
            </w:pPr>
            <w:r w:rsidRPr="004A6B89">
              <w:rPr>
                <w:rFonts w:cs="Arial"/>
              </w:rPr>
              <w:t>22.0</w:t>
            </w:r>
          </w:p>
        </w:tc>
        <w:tc>
          <w:tcPr>
            <w:tcW w:w="1368" w:type="dxa"/>
            <w:vAlign w:val="bottom"/>
          </w:tcPr>
          <w:p w:rsidR="0099223E" w:rsidRPr="004A6B89" w:rsidRDefault="0099223E" w:rsidP="00D65510">
            <w:pPr>
              <w:jc w:val="right"/>
              <w:rPr>
                <w:rFonts w:cs="Arial"/>
              </w:rPr>
            </w:pPr>
            <w:r w:rsidRPr="004A6B89">
              <w:rPr>
                <w:rFonts w:cs="Arial"/>
              </w:rPr>
              <w:t>-14.5</w:t>
            </w:r>
          </w:p>
        </w:tc>
      </w:tr>
      <w:tr w:rsidR="0099223E" w:rsidRPr="004A6B89" w:rsidTr="00D65510">
        <w:tc>
          <w:tcPr>
            <w:tcW w:w="3168" w:type="dxa"/>
            <w:vAlign w:val="bottom"/>
          </w:tcPr>
          <w:p w:rsidR="0099223E" w:rsidRPr="004A6B89" w:rsidRDefault="0099223E" w:rsidP="00D65510">
            <w:pPr>
              <w:rPr>
                <w:rFonts w:cs="Arial"/>
                <w:color w:val="000000"/>
              </w:rPr>
            </w:pPr>
            <w:r w:rsidRPr="004A6B89">
              <w:rPr>
                <w:rFonts w:cs="Arial"/>
              </w:rPr>
              <w:t>Apple</w:t>
            </w:r>
          </w:p>
        </w:tc>
        <w:tc>
          <w:tcPr>
            <w:tcW w:w="1440" w:type="dxa"/>
            <w:vAlign w:val="bottom"/>
          </w:tcPr>
          <w:p w:rsidR="0099223E" w:rsidRPr="004A6B89" w:rsidRDefault="0099223E" w:rsidP="00D65510">
            <w:pPr>
              <w:jc w:val="right"/>
              <w:rPr>
                <w:rFonts w:cs="Arial"/>
                <w:color w:val="000000"/>
              </w:rPr>
            </w:pPr>
            <w:r w:rsidRPr="004A6B89">
              <w:rPr>
                <w:rFonts w:cs="Arial"/>
              </w:rPr>
              <w:t>1,650,012</w:t>
            </w:r>
          </w:p>
        </w:tc>
        <w:tc>
          <w:tcPr>
            <w:tcW w:w="1512" w:type="dxa"/>
            <w:vAlign w:val="bottom"/>
          </w:tcPr>
          <w:p w:rsidR="0099223E" w:rsidRPr="004A6B89" w:rsidRDefault="0099223E" w:rsidP="00D65510">
            <w:pPr>
              <w:jc w:val="right"/>
              <w:rPr>
                <w:rFonts w:cs="Arial"/>
                <w:color w:val="000000"/>
              </w:rPr>
            </w:pPr>
            <w:r w:rsidRPr="004A6B89">
              <w:rPr>
                <w:rFonts w:cs="Arial"/>
              </w:rPr>
              <w:t>11.6</w:t>
            </w:r>
          </w:p>
        </w:tc>
        <w:tc>
          <w:tcPr>
            <w:tcW w:w="1368" w:type="dxa"/>
            <w:vAlign w:val="bottom"/>
          </w:tcPr>
          <w:p w:rsidR="0099223E" w:rsidRPr="004A6B89" w:rsidRDefault="0099223E" w:rsidP="00D65510">
            <w:pPr>
              <w:jc w:val="right"/>
              <w:rPr>
                <w:rFonts w:cs="Arial"/>
                <w:color w:val="000000"/>
              </w:rPr>
            </w:pPr>
            <w:r w:rsidRPr="004A6B89">
              <w:rPr>
                <w:rFonts w:cs="Arial"/>
              </w:rPr>
              <w:t>1,535,951</w:t>
            </w:r>
          </w:p>
        </w:tc>
        <w:tc>
          <w:tcPr>
            <w:tcW w:w="1512" w:type="dxa"/>
            <w:vAlign w:val="bottom"/>
          </w:tcPr>
          <w:p w:rsidR="0099223E" w:rsidRPr="004A6B89" w:rsidRDefault="0099223E" w:rsidP="00D65510">
            <w:pPr>
              <w:jc w:val="right"/>
              <w:rPr>
                <w:rFonts w:cs="Arial"/>
                <w:color w:val="000000"/>
              </w:rPr>
            </w:pPr>
            <w:r w:rsidRPr="004A6B89">
              <w:rPr>
                <w:rFonts w:cs="Arial"/>
              </w:rPr>
              <w:t>9.8</w:t>
            </w:r>
          </w:p>
        </w:tc>
        <w:tc>
          <w:tcPr>
            <w:tcW w:w="1368" w:type="dxa"/>
            <w:vAlign w:val="bottom"/>
          </w:tcPr>
          <w:p w:rsidR="0099223E" w:rsidRPr="004A6B89" w:rsidRDefault="0099223E" w:rsidP="00D65510">
            <w:pPr>
              <w:jc w:val="right"/>
              <w:rPr>
                <w:rFonts w:cs="Arial"/>
              </w:rPr>
            </w:pPr>
            <w:r w:rsidRPr="004A6B89">
              <w:rPr>
                <w:rFonts w:cs="Arial"/>
              </w:rPr>
              <w:t>7.4</w:t>
            </w:r>
          </w:p>
        </w:tc>
      </w:tr>
      <w:tr w:rsidR="0099223E" w:rsidRPr="004A6B89" w:rsidTr="00D65510">
        <w:tc>
          <w:tcPr>
            <w:tcW w:w="3168" w:type="dxa"/>
            <w:vAlign w:val="bottom"/>
          </w:tcPr>
          <w:p w:rsidR="0099223E" w:rsidRPr="004A6B89" w:rsidRDefault="0099223E" w:rsidP="00D65510">
            <w:pPr>
              <w:rPr>
                <w:rFonts w:cs="Arial"/>
                <w:color w:val="000000"/>
              </w:rPr>
            </w:pPr>
            <w:r w:rsidRPr="004A6B89">
              <w:rPr>
                <w:rFonts w:cs="Arial"/>
              </w:rPr>
              <w:t>Toshiba</w:t>
            </w:r>
          </w:p>
        </w:tc>
        <w:tc>
          <w:tcPr>
            <w:tcW w:w="1440" w:type="dxa"/>
            <w:vAlign w:val="bottom"/>
          </w:tcPr>
          <w:p w:rsidR="0099223E" w:rsidRPr="004A6B89" w:rsidRDefault="0099223E" w:rsidP="00D65510">
            <w:pPr>
              <w:jc w:val="right"/>
              <w:rPr>
                <w:rFonts w:cs="Arial"/>
                <w:color w:val="000000"/>
              </w:rPr>
            </w:pPr>
            <w:r w:rsidRPr="004A6B89">
              <w:rPr>
                <w:rFonts w:cs="Arial"/>
              </w:rPr>
              <w:t>1,278,883</w:t>
            </w:r>
          </w:p>
        </w:tc>
        <w:tc>
          <w:tcPr>
            <w:tcW w:w="1512" w:type="dxa"/>
            <w:vAlign w:val="bottom"/>
          </w:tcPr>
          <w:p w:rsidR="0099223E" w:rsidRPr="004A6B89" w:rsidRDefault="0099223E" w:rsidP="00D65510">
            <w:pPr>
              <w:jc w:val="right"/>
              <w:rPr>
                <w:rFonts w:cs="Arial"/>
                <w:color w:val="000000"/>
              </w:rPr>
            </w:pPr>
            <w:r w:rsidRPr="004A6B89">
              <w:rPr>
                <w:rFonts w:cs="Arial"/>
              </w:rPr>
              <w:t>9.0</w:t>
            </w:r>
          </w:p>
        </w:tc>
        <w:tc>
          <w:tcPr>
            <w:tcW w:w="1368" w:type="dxa"/>
            <w:vAlign w:val="bottom"/>
          </w:tcPr>
          <w:p w:rsidR="0099223E" w:rsidRPr="004A6B89" w:rsidRDefault="0099223E" w:rsidP="00D65510">
            <w:pPr>
              <w:jc w:val="right"/>
              <w:rPr>
                <w:rFonts w:cs="Arial"/>
                <w:color w:val="000000"/>
              </w:rPr>
            </w:pPr>
            <w:r w:rsidRPr="004A6B89">
              <w:rPr>
                <w:rFonts w:cs="Arial"/>
              </w:rPr>
              <w:t>1,349,900</w:t>
            </w:r>
          </w:p>
        </w:tc>
        <w:tc>
          <w:tcPr>
            <w:tcW w:w="1512" w:type="dxa"/>
            <w:vAlign w:val="bottom"/>
          </w:tcPr>
          <w:p w:rsidR="0099223E" w:rsidRPr="004A6B89" w:rsidRDefault="0099223E" w:rsidP="00D65510">
            <w:pPr>
              <w:jc w:val="right"/>
              <w:rPr>
                <w:rFonts w:cs="Arial"/>
                <w:color w:val="000000"/>
              </w:rPr>
            </w:pPr>
            <w:r w:rsidRPr="004A6B89">
              <w:rPr>
                <w:rFonts w:cs="Arial"/>
              </w:rPr>
              <w:t>8.6</w:t>
            </w:r>
          </w:p>
        </w:tc>
        <w:tc>
          <w:tcPr>
            <w:tcW w:w="1368" w:type="dxa"/>
            <w:vAlign w:val="bottom"/>
          </w:tcPr>
          <w:p w:rsidR="0099223E" w:rsidRPr="004A6B89" w:rsidRDefault="0099223E" w:rsidP="00D65510">
            <w:pPr>
              <w:jc w:val="right"/>
              <w:rPr>
                <w:rFonts w:cs="Arial"/>
              </w:rPr>
            </w:pPr>
            <w:r w:rsidRPr="004A6B89">
              <w:rPr>
                <w:rFonts w:cs="Arial"/>
              </w:rPr>
              <w:t>-5.3</w:t>
            </w:r>
          </w:p>
        </w:tc>
      </w:tr>
      <w:tr w:rsidR="0099223E" w:rsidRPr="004A6B89" w:rsidTr="00D65510">
        <w:tc>
          <w:tcPr>
            <w:tcW w:w="3168" w:type="dxa"/>
            <w:vAlign w:val="bottom"/>
          </w:tcPr>
          <w:p w:rsidR="0099223E" w:rsidRPr="004A6B89" w:rsidRDefault="0099223E" w:rsidP="00D65510">
            <w:pPr>
              <w:rPr>
                <w:rFonts w:cs="Arial"/>
                <w:color w:val="000000"/>
              </w:rPr>
            </w:pPr>
            <w:r w:rsidRPr="004A6B89">
              <w:rPr>
                <w:rFonts w:cs="Arial"/>
              </w:rPr>
              <w:t>Lenovo</w:t>
            </w:r>
          </w:p>
        </w:tc>
        <w:tc>
          <w:tcPr>
            <w:tcW w:w="1440" w:type="dxa"/>
            <w:vAlign w:val="bottom"/>
          </w:tcPr>
          <w:p w:rsidR="0099223E" w:rsidRPr="004A6B89" w:rsidRDefault="0099223E" w:rsidP="00D65510">
            <w:pPr>
              <w:jc w:val="right"/>
              <w:rPr>
                <w:rFonts w:cs="Arial"/>
                <w:color w:val="000000"/>
              </w:rPr>
            </w:pPr>
            <w:r w:rsidRPr="004A6B89">
              <w:rPr>
                <w:rFonts w:cs="Arial"/>
              </w:rPr>
              <w:t>1,265,902</w:t>
            </w:r>
          </w:p>
        </w:tc>
        <w:tc>
          <w:tcPr>
            <w:tcW w:w="1512" w:type="dxa"/>
            <w:vAlign w:val="bottom"/>
          </w:tcPr>
          <w:p w:rsidR="0099223E" w:rsidRPr="004A6B89" w:rsidRDefault="0099223E" w:rsidP="00D65510">
            <w:pPr>
              <w:jc w:val="right"/>
              <w:rPr>
                <w:rFonts w:cs="Arial"/>
                <w:color w:val="000000"/>
              </w:rPr>
            </w:pPr>
            <w:r w:rsidRPr="004A6B89">
              <w:rPr>
                <w:rFonts w:cs="Arial"/>
              </w:rPr>
              <w:t>8.9</w:t>
            </w:r>
          </w:p>
        </w:tc>
        <w:tc>
          <w:tcPr>
            <w:tcW w:w="1368" w:type="dxa"/>
            <w:vAlign w:val="bottom"/>
          </w:tcPr>
          <w:p w:rsidR="0099223E" w:rsidRPr="004A6B89" w:rsidRDefault="0099223E" w:rsidP="00D65510">
            <w:pPr>
              <w:jc w:val="right"/>
              <w:rPr>
                <w:rFonts w:cs="Arial"/>
                <w:color w:val="000000"/>
              </w:rPr>
            </w:pPr>
            <w:r w:rsidRPr="004A6B89">
              <w:rPr>
                <w:rFonts w:cs="Arial"/>
              </w:rPr>
              <w:t>1,112,582</w:t>
            </w:r>
          </w:p>
        </w:tc>
        <w:tc>
          <w:tcPr>
            <w:tcW w:w="1512" w:type="dxa"/>
            <w:vAlign w:val="bottom"/>
          </w:tcPr>
          <w:p w:rsidR="0099223E" w:rsidRPr="004A6B89" w:rsidRDefault="0099223E" w:rsidP="00D65510">
            <w:pPr>
              <w:jc w:val="right"/>
              <w:rPr>
                <w:rFonts w:cs="Arial"/>
                <w:color w:val="000000"/>
              </w:rPr>
            </w:pPr>
            <w:r w:rsidRPr="004A6B89">
              <w:rPr>
                <w:rFonts w:cs="Arial"/>
              </w:rPr>
              <w:t>7.1</w:t>
            </w:r>
          </w:p>
        </w:tc>
        <w:tc>
          <w:tcPr>
            <w:tcW w:w="1368" w:type="dxa"/>
            <w:vAlign w:val="bottom"/>
          </w:tcPr>
          <w:p w:rsidR="0099223E" w:rsidRPr="004A6B89" w:rsidRDefault="0099223E" w:rsidP="00D65510">
            <w:pPr>
              <w:jc w:val="right"/>
              <w:rPr>
                <w:rFonts w:cs="Arial"/>
              </w:rPr>
            </w:pPr>
            <w:r w:rsidRPr="004A6B89">
              <w:rPr>
                <w:rFonts w:cs="Arial"/>
              </w:rPr>
              <w:t>13.8</w:t>
            </w:r>
          </w:p>
        </w:tc>
      </w:tr>
      <w:tr w:rsidR="0099223E" w:rsidRPr="004A6B89" w:rsidTr="00D65510">
        <w:tc>
          <w:tcPr>
            <w:tcW w:w="3168" w:type="dxa"/>
          </w:tcPr>
          <w:p w:rsidR="0099223E" w:rsidRPr="004A6B89" w:rsidRDefault="0099223E" w:rsidP="00D65510">
            <w:pPr>
              <w:pStyle w:val="CellBodyL"/>
              <w:rPr>
                <w:rFonts w:cs="Arial"/>
                <w:sz w:val="20"/>
              </w:rPr>
            </w:pPr>
            <w:r w:rsidRPr="004A6B89">
              <w:rPr>
                <w:rFonts w:cs="Arial"/>
                <w:sz w:val="20"/>
              </w:rPr>
              <w:t>Others</w:t>
            </w:r>
          </w:p>
        </w:tc>
        <w:tc>
          <w:tcPr>
            <w:tcW w:w="1440" w:type="dxa"/>
          </w:tcPr>
          <w:p w:rsidR="0099223E" w:rsidRPr="004A6B89" w:rsidRDefault="0099223E" w:rsidP="00D65510">
            <w:pPr>
              <w:jc w:val="right"/>
              <w:rPr>
                <w:rFonts w:cs="Arial"/>
              </w:rPr>
            </w:pPr>
            <w:r w:rsidRPr="004A6B89">
              <w:rPr>
                <w:rFonts w:cs="Arial"/>
              </w:rPr>
              <w:t>3,623,468</w:t>
            </w:r>
          </w:p>
        </w:tc>
        <w:tc>
          <w:tcPr>
            <w:tcW w:w="1512" w:type="dxa"/>
          </w:tcPr>
          <w:p w:rsidR="0099223E" w:rsidRPr="004A6B89" w:rsidRDefault="0099223E" w:rsidP="00D65510">
            <w:pPr>
              <w:pStyle w:val="CellBodyR"/>
              <w:rPr>
                <w:rFonts w:cs="Arial"/>
                <w:sz w:val="20"/>
              </w:rPr>
            </w:pPr>
            <w:r w:rsidRPr="004A6B89">
              <w:rPr>
                <w:rFonts w:cs="Arial"/>
                <w:sz w:val="20"/>
              </w:rPr>
              <w:t>25.5</w:t>
            </w:r>
          </w:p>
        </w:tc>
        <w:tc>
          <w:tcPr>
            <w:tcW w:w="1368" w:type="dxa"/>
          </w:tcPr>
          <w:p w:rsidR="0099223E" w:rsidRPr="004A6B89" w:rsidRDefault="0099223E" w:rsidP="00D65510">
            <w:pPr>
              <w:jc w:val="right"/>
              <w:rPr>
                <w:rFonts w:cs="Arial"/>
              </w:rPr>
            </w:pPr>
            <w:r w:rsidRPr="004A6B89">
              <w:rPr>
                <w:rFonts w:cs="Arial"/>
              </w:rPr>
              <w:t>3,788,927</w:t>
            </w:r>
          </w:p>
        </w:tc>
        <w:tc>
          <w:tcPr>
            <w:tcW w:w="1512" w:type="dxa"/>
          </w:tcPr>
          <w:p w:rsidR="0099223E" w:rsidRPr="004A6B89" w:rsidRDefault="0099223E" w:rsidP="00D65510">
            <w:pPr>
              <w:pStyle w:val="CellBodyR"/>
              <w:rPr>
                <w:rFonts w:cs="Arial"/>
                <w:sz w:val="20"/>
              </w:rPr>
            </w:pPr>
            <w:r w:rsidRPr="004A6B89">
              <w:rPr>
                <w:rFonts w:cs="Arial"/>
                <w:sz w:val="20"/>
              </w:rPr>
              <w:t>24.1</w:t>
            </w:r>
          </w:p>
        </w:tc>
        <w:tc>
          <w:tcPr>
            <w:tcW w:w="1368" w:type="dxa"/>
          </w:tcPr>
          <w:p w:rsidR="0099223E" w:rsidRPr="004A6B89" w:rsidRDefault="0099223E" w:rsidP="00D65510">
            <w:pPr>
              <w:pStyle w:val="CellBodyR"/>
              <w:rPr>
                <w:rFonts w:cs="Arial"/>
                <w:sz w:val="20"/>
              </w:rPr>
            </w:pPr>
            <w:r w:rsidRPr="004A6B89">
              <w:rPr>
                <w:rFonts w:cs="Arial"/>
                <w:sz w:val="20"/>
              </w:rPr>
              <w:t>-4.4</w:t>
            </w:r>
          </w:p>
        </w:tc>
      </w:tr>
      <w:tr w:rsidR="0099223E" w:rsidRPr="004A6B89" w:rsidTr="00D65510">
        <w:tc>
          <w:tcPr>
            <w:tcW w:w="3168" w:type="dxa"/>
          </w:tcPr>
          <w:p w:rsidR="0099223E" w:rsidRPr="004A6B89" w:rsidRDefault="0099223E" w:rsidP="00D65510">
            <w:pPr>
              <w:pStyle w:val="CellBodyL"/>
              <w:rPr>
                <w:rFonts w:cs="Arial"/>
                <w:b/>
                <w:sz w:val="20"/>
              </w:rPr>
            </w:pPr>
            <w:r w:rsidRPr="004A6B89">
              <w:rPr>
                <w:rFonts w:cs="Arial"/>
                <w:b/>
                <w:sz w:val="20"/>
              </w:rPr>
              <w:t>Total</w:t>
            </w:r>
          </w:p>
        </w:tc>
        <w:tc>
          <w:tcPr>
            <w:tcW w:w="1440" w:type="dxa"/>
          </w:tcPr>
          <w:p w:rsidR="0099223E" w:rsidRPr="004A6B89" w:rsidRDefault="0099223E" w:rsidP="00D65510">
            <w:pPr>
              <w:jc w:val="right"/>
              <w:rPr>
                <w:rFonts w:cs="Arial"/>
                <w:b/>
              </w:rPr>
            </w:pPr>
            <w:r w:rsidRPr="004A6B89">
              <w:rPr>
                <w:rFonts w:cs="Arial"/>
                <w:b/>
              </w:rPr>
              <w:t>14,222,820</w:t>
            </w:r>
          </w:p>
        </w:tc>
        <w:tc>
          <w:tcPr>
            <w:tcW w:w="1512" w:type="dxa"/>
          </w:tcPr>
          <w:p w:rsidR="0099223E" w:rsidRPr="004A6B89" w:rsidRDefault="0099223E" w:rsidP="00D65510">
            <w:pPr>
              <w:pStyle w:val="CellBodyR"/>
              <w:rPr>
                <w:rFonts w:cs="Arial"/>
                <w:b/>
                <w:sz w:val="20"/>
              </w:rPr>
            </w:pPr>
            <w:r w:rsidRPr="004A6B89">
              <w:rPr>
                <w:rFonts w:cs="Arial"/>
                <w:b/>
                <w:sz w:val="20"/>
              </w:rPr>
              <w:t>100.0</w:t>
            </w:r>
          </w:p>
        </w:tc>
        <w:tc>
          <w:tcPr>
            <w:tcW w:w="1368" w:type="dxa"/>
          </w:tcPr>
          <w:p w:rsidR="0099223E" w:rsidRPr="004A6B89" w:rsidRDefault="0099223E" w:rsidP="00D65510">
            <w:pPr>
              <w:jc w:val="right"/>
              <w:rPr>
                <w:rFonts w:cs="Arial"/>
                <w:b/>
              </w:rPr>
            </w:pPr>
            <w:r w:rsidRPr="004A6B89">
              <w:rPr>
                <w:rFonts w:cs="Arial"/>
                <w:b/>
              </w:rPr>
              <w:t>15,740,856</w:t>
            </w:r>
          </w:p>
        </w:tc>
        <w:tc>
          <w:tcPr>
            <w:tcW w:w="1512" w:type="dxa"/>
          </w:tcPr>
          <w:p w:rsidR="0099223E" w:rsidRPr="004A6B89" w:rsidRDefault="0099223E" w:rsidP="00D65510">
            <w:pPr>
              <w:pStyle w:val="CellBodyR"/>
              <w:rPr>
                <w:rFonts w:cs="Arial"/>
                <w:b/>
                <w:sz w:val="20"/>
              </w:rPr>
            </w:pPr>
            <w:r w:rsidRPr="004A6B89">
              <w:rPr>
                <w:rFonts w:cs="Arial"/>
                <w:b/>
                <w:sz w:val="20"/>
              </w:rPr>
              <w:t>100.0</w:t>
            </w:r>
          </w:p>
        </w:tc>
        <w:tc>
          <w:tcPr>
            <w:tcW w:w="1368" w:type="dxa"/>
          </w:tcPr>
          <w:p w:rsidR="0099223E" w:rsidRPr="004A6B89" w:rsidRDefault="0099223E" w:rsidP="00D65510">
            <w:pPr>
              <w:pStyle w:val="CellBodyR"/>
              <w:rPr>
                <w:rFonts w:cs="Arial"/>
                <w:b/>
                <w:sz w:val="20"/>
              </w:rPr>
            </w:pPr>
            <w:r w:rsidRPr="004A6B89">
              <w:rPr>
                <w:rFonts w:cs="Arial"/>
                <w:b/>
                <w:sz w:val="20"/>
              </w:rPr>
              <w:t>-9.6</w:t>
            </w:r>
          </w:p>
        </w:tc>
      </w:tr>
    </w:tbl>
    <w:p w:rsidR="0099223E" w:rsidRPr="004A6B89" w:rsidRDefault="0099223E" w:rsidP="0099223E">
      <w:pPr>
        <w:jc w:val="left"/>
        <w:rPr>
          <w:sz w:val="16"/>
          <w:szCs w:val="16"/>
        </w:rPr>
      </w:pPr>
      <w:r w:rsidRPr="004A6B89">
        <w:rPr>
          <w:sz w:val="16"/>
          <w:szCs w:val="16"/>
        </w:rPr>
        <w:t>Note: Data includes desk-based PCs and mobile PCs, including mini-notebooks but not media tablets such as the iPad.</w:t>
      </w:r>
    </w:p>
    <w:p w:rsidR="0099223E" w:rsidRPr="004A6B89" w:rsidRDefault="0099223E" w:rsidP="0099223E">
      <w:pPr>
        <w:jc w:val="left"/>
        <w:rPr>
          <w:sz w:val="16"/>
        </w:rPr>
      </w:pPr>
      <w:r w:rsidRPr="004A6B89">
        <w:rPr>
          <w:sz w:val="16"/>
        </w:rPr>
        <w:t>Source: Gartner (April 2013)</w:t>
      </w:r>
    </w:p>
    <w:p w:rsidR="0099223E" w:rsidRPr="004A6B89" w:rsidRDefault="0099223E" w:rsidP="0099223E">
      <w:pPr>
        <w:pStyle w:val="contact"/>
        <w:tabs>
          <w:tab w:val="clear" w:pos="9180"/>
        </w:tabs>
        <w:rPr>
          <w:rFonts w:ascii="Arial" w:hAnsi="Arial" w:cs="Arial"/>
        </w:rPr>
      </w:pPr>
    </w:p>
    <w:p w:rsidR="004A6B89" w:rsidRPr="004A6B89" w:rsidRDefault="004A6B89" w:rsidP="004A6B89">
      <w:pPr>
        <w:pStyle w:val="contact"/>
        <w:rPr>
          <w:rFonts w:ascii="Arial" w:hAnsi="Arial" w:cs="Arial"/>
        </w:rPr>
      </w:pPr>
      <w:r w:rsidRPr="004A6B89">
        <w:rPr>
          <w:rFonts w:ascii="Arial" w:hAnsi="Arial" w:cs="Arial"/>
        </w:rPr>
        <w:t>EMEA suffered its third consecutive quarter of PC shipment decline in the first three months of 2013. This decline was the steepest recorded since Gartner began publishing quarterly PC market share statistics.</w:t>
      </w:r>
    </w:p>
    <w:p w:rsidR="004A6B89" w:rsidRPr="004A6B89" w:rsidRDefault="004A6B89" w:rsidP="004A6B89">
      <w:pPr>
        <w:pStyle w:val="contact"/>
        <w:rPr>
          <w:rFonts w:ascii="Arial" w:hAnsi="Arial" w:cs="Arial"/>
        </w:rPr>
      </w:pPr>
      <w:r w:rsidRPr="004A6B89">
        <w:rPr>
          <w:rFonts w:ascii="Arial" w:hAnsi="Arial" w:cs="Arial"/>
        </w:rPr>
        <w:t xml:space="preserve"> </w:t>
      </w:r>
    </w:p>
    <w:p w:rsidR="004A6B89" w:rsidRPr="004A6B89" w:rsidRDefault="004A6B89" w:rsidP="004A6B89">
      <w:pPr>
        <w:pStyle w:val="contact"/>
        <w:rPr>
          <w:rFonts w:ascii="Arial" w:hAnsi="Arial" w:cs="Arial"/>
        </w:rPr>
      </w:pPr>
      <w:r w:rsidRPr="004A6B89">
        <w:rPr>
          <w:rFonts w:ascii="Arial" w:hAnsi="Arial" w:cs="Arial"/>
        </w:rPr>
        <w:t xml:space="preserve">“The EMEA PC market continued to face challenges in the first quarter of 2013. Notably, it suffered from a fundamental shift in the role of PCs in the consumer market,” said Isabelle Durand, principal research analyst at Gartner. “Consumers' content consumption was — and still is — moving from PCs to other types of connected devices. Even in Central and Eastern Europe and the Middle East and Africa, where PC penetration is low, growth in PC shipments was down as first-time device buyers chose other devices.” </w:t>
      </w:r>
    </w:p>
    <w:p w:rsidR="004A6B89" w:rsidRPr="004A6B89" w:rsidRDefault="004A6B89" w:rsidP="004A6B89">
      <w:pPr>
        <w:pStyle w:val="contact"/>
        <w:rPr>
          <w:rFonts w:ascii="Arial" w:hAnsi="Arial" w:cs="Arial"/>
        </w:rPr>
      </w:pPr>
    </w:p>
    <w:p w:rsidR="004A6B89" w:rsidRPr="004A6B89" w:rsidRDefault="004A6B89" w:rsidP="004A6B89">
      <w:pPr>
        <w:pStyle w:val="contact"/>
        <w:rPr>
          <w:rFonts w:ascii="Arial" w:hAnsi="Arial" w:cs="Arial"/>
        </w:rPr>
      </w:pPr>
      <w:r w:rsidRPr="004A6B89">
        <w:rPr>
          <w:rFonts w:ascii="Arial" w:hAnsi="Arial" w:cs="Arial"/>
        </w:rPr>
        <w:t>Demand for Ultramobiles remained slow as prices were still relatively high. New models with more aggressive prices will reach the market only in the second half of 2013, with the introduction of Intel’s "Haswell" processor.</w:t>
      </w:r>
    </w:p>
    <w:p w:rsidR="004A6B89" w:rsidRPr="004A6B89" w:rsidRDefault="004A6B89" w:rsidP="004A6B89">
      <w:pPr>
        <w:pStyle w:val="contact"/>
        <w:rPr>
          <w:rFonts w:ascii="Arial" w:hAnsi="Arial" w:cs="Arial"/>
        </w:rPr>
      </w:pPr>
    </w:p>
    <w:p w:rsidR="004A6B89" w:rsidRPr="004A6B89" w:rsidRDefault="004A6B89" w:rsidP="004A6B89">
      <w:pPr>
        <w:pStyle w:val="contact"/>
        <w:rPr>
          <w:rFonts w:ascii="Arial" w:hAnsi="Arial" w:cs="Arial"/>
        </w:rPr>
      </w:pPr>
      <w:r w:rsidRPr="004A6B89">
        <w:rPr>
          <w:rFonts w:ascii="Arial" w:hAnsi="Arial" w:cs="Arial"/>
        </w:rPr>
        <w:t>“Touchscreen-based Ultramobiles offer PC manufacturers an opportunity to recover market share from media tablets, but Windows 8 PCs with touchscreens</w:t>
      </w:r>
      <w:r w:rsidRPr="004A6B89" w:rsidDel="000B60BB">
        <w:rPr>
          <w:rFonts w:ascii="Arial" w:hAnsi="Arial" w:cs="Arial"/>
        </w:rPr>
        <w:t xml:space="preserve"> </w:t>
      </w:r>
      <w:r w:rsidRPr="004A6B89">
        <w:rPr>
          <w:rFonts w:ascii="Arial" w:hAnsi="Arial" w:cs="Arial"/>
        </w:rPr>
        <w:t xml:space="preserve">accounted for only a small </w:t>
      </w:r>
      <w:r w:rsidR="00924102">
        <w:rPr>
          <w:rFonts w:ascii="Arial" w:hAnsi="Arial" w:cs="Arial"/>
        </w:rPr>
        <w:t>percent</w:t>
      </w:r>
      <w:r w:rsidRPr="004A6B89">
        <w:rPr>
          <w:rFonts w:ascii="Arial" w:hAnsi="Arial" w:cs="Arial"/>
        </w:rPr>
        <w:t xml:space="preserve">age of consumer PC shipments in the first quarter of 2013,” said Ms Durand. “The majority of consumers remain unwilling to </w:t>
      </w:r>
      <w:r w:rsidRPr="004A6B89">
        <w:rPr>
          <w:rFonts w:ascii="Arial" w:hAnsi="Arial" w:cs="Arial"/>
        </w:rPr>
        <w:lastRenderedPageBreak/>
        <w:t>pay the price premium for touchscreen capabilities on PCs at this stage. But, even so, touchscreens and Windows 8 will represent key opportunities for PC manufacturers in the second half of 2013."</w:t>
      </w:r>
    </w:p>
    <w:p w:rsidR="004A6B89" w:rsidRPr="004A6B89" w:rsidRDefault="004A6B89" w:rsidP="004A6B89">
      <w:pPr>
        <w:pStyle w:val="contact"/>
        <w:rPr>
          <w:rFonts w:ascii="Arial" w:hAnsi="Arial" w:cs="Arial"/>
        </w:rPr>
      </w:pPr>
    </w:p>
    <w:p w:rsidR="004A6B89" w:rsidRPr="004A6B89" w:rsidRDefault="004A6B89" w:rsidP="004A6B89">
      <w:pPr>
        <w:pStyle w:val="contact"/>
        <w:rPr>
          <w:rFonts w:ascii="Arial" w:hAnsi="Arial" w:cs="Arial"/>
        </w:rPr>
      </w:pPr>
      <w:r w:rsidRPr="004A6B89">
        <w:rPr>
          <w:rFonts w:ascii="Arial" w:hAnsi="Arial" w:cs="Arial"/>
        </w:rPr>
        <w:t xml:space="preserve">HP retained the lead in the first quarter of 2013, but it faced challenges in both consumer and professional markets (see Table 2). Acer secured second place but recorded a steep shipment decline, with most of the drop resulting from the shift in its portfolio from netbooks to Android-based media tablets. </w:t>
      </w:r>
    </w:p>
    <w:p w:rsidR="004A6B89" w:rsidRPr="004A6B89" w:rsidRDefault="004A6B89" w:rsidP="004A6B89">
      <w:pPr>
        <w:pStyle w:val="contact"/>
        <w:rPr>
          <w:rFonts w:ascii="Arial" w:hAnsi="Arial" w:cs="Arial"/>
        </w:rPr>
      </w:pPr>
    </w:p>
    <w:p w:rsidR="00B05080" w:rsidRPr="003728BA" w:rsidRDefault="004A6B89" w:rsidP="003728BA">
      <w:pPr>
        <w:pStyle w:val="contact"/>
        <w:rPr>
          <w:rFonts w:ascii="Arial" w:hAnsi="Arial" w:cs="Arial"/>
        </w:rPr>
      </w:pPr>
      <w:r w:rsidRPr="004A6B89">
        <w:rPr>
          <w:rFonts w:ascii="Arial" w:hAnsi="Arial" w:cs="Arial"/>
        </w:rPr>
        <w:t>Lenovo was the only top-five vendor to achieve shipment growth. It claimed third place as its aggressive pricing strategy in consumer and professional markets paid off. Dell maintained its market share year-over-year, declining in line with the overall market. Asus's PC shipments fell as it ceased netbook shipments and uptake of its Ultramobiles remained slow.</w:t>
      </w:r>
    </w:p>
    <w:p w:rsidR="00B05080" w:rsidRDefault="00B05080" w:rsidP="004A6B89">
      <w:pPr>
        <w:pStyle w:val="Default"/>
        <w:rPr>
          <w:rFonts w:ascii="Arial" w:hAnsi="Arial" w:cs="Arial"/>
          <w:sz w:val="16"/>
          <w:szCs w:val="16"/>
          <w:lang w:val="en-GB"/>
        </w:rPr>
      </w:pPr>
    </w:p>
    <w:p w:rsidR="00B05080" w:rsidRPr="004A6B89" w:rsidRDefault="00B05080" w:rsidP="00B05080">
      <w:pPr>
        <w:pStyle w:val="Default"/>
        <w:rPr>
          <w:rFonts w:ascii="Arial" w:hAnsi="Arial" w:cs="Arial"/>
          <w:color w:val="1F497D"/>
          <w:sz w:val="22"/>
          <w:szCs w:val="22"/>
          <w:lang w:val="en-GB"/>
        </w:rPr>
      </w:pPr>
      <w:r w:rsidRPr="004A6B89">
        <w:rPr>
          <w:rFonts w:ascii="Arial" w:hAnsi="Arial" w:cs="Arial"/>
          <w:b/>
          <w:color w:val="auto"/>
          <w:sz w:val="22"/>
          <w:szCs w:val="22"/>
          <w:lang w:val="en-GB"/>
        </w:rPr>
        <w:t xml:space="preserve">Table </w:t>
      </w:r>
      <w:r>
        <w:rPr>
          <w:rFonts w:ascii="Arial" w:hAnsi="Arial" w:cs="Arial"/>
          <w:b/>
          <w:color w:val="auto"/>
          <w:sz w:val="22"/>
          <w:szCs w:val="22"/>
          <w:lang w:val="en-GB"/>
        </w:rPr>
        <w:t>3</w:t>
      </w:r>
      <w:r w:rsidRPr="004A6B89">
        <w:rPr>
          <w:rFonts w:ascii="Arial" w:hAnsi="Arial" w:cs="Arial"/>
          <w:b/>
          <w:color w:val="auto"/>
          <w:sz w:val="22"/>
          <w:szCs w:val="22"/>
          <w:lang w:val="en-GB"/>
        </w:rPr>
        <w:br/>
        <w:t>Preliminary EMEA PC Vendor Unit Shipment Estimates for 1Q13 (Units)</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3168"/>
        <w:gridCol w:w="1440"/>
        <w:gridCol w:w="1512"/>
        <w:gridCol w:w="1368"/>
        <w:gridCol w:w="1512"/>
        <w:gridCol w:w="1368"/>
      </w:tblGrid>
      <w:tr w:rsidR="00B05080" w:rsidRPr="004A6B89" w:rsidTr="0089304F">
        <w:tc>
          <w:tcPr>
            <w:tcW w:w="3168" w:type="dxa"/>
            <w:tcBorders>
              <w:top w:val="single" w:sz="6" w:space="0" w:color="auto"/>
              <w:bottom w:val="single" w:sz="6" w:space="0" w:color="auto"/>
            </w:tcBorders>
            <w:vAlign w:val="bottom"/>
          </w:tcPr>
          <w:p w:rsidR="00B05080" w:rsidRPr="004A6B89" w:rsidRDefault="00B05080" w:rsidP="00B05080">
            <w:pPr>
              <w:pStyle w:val="HeadingJustified"/>
              <w:tabs>
                <w:tab w:val="decimal" w:pos="990"/>
                <w:tab w:val="decimal" w:pos="2070"/>
                <w:tab w:val="left" w:pos="2880"/>
                <w:tab w:val="decimal" w:pos="4140"/>
                <w:tab w:val="decimal" w:pos="4860"/>
                <w:tab w:val="decimal" w:pos="7020"/>
                <w:tab w:val="decimal" w:pos="7110"/>
              </w:tabs>
            </w:pPr>
            <w:r w:rsidRPr="004A6B89">
              <w:rPr>
                <w:rFonts w:cs="Arial"/>
                <w:bCs/>
                <w:color w:val="000000"/>
                <w:lang w:eastAsia="en-GB"/>
              </w:rPr>
              <w:t>Company</w:t>
            </w:r>
          </w:p>
        </w:tc>
        <w:tc>
          <w:tcPr>
            <w:tcW w:w="1440" w:type="dxa"/>
            <w:tcBorders>
              <w:top w:val="single" w:sz="6" w:space="0" w:color="auto"/>
              <w:bottom w:val="single" w:sz="6" w:space="0" w:color="auto"/>
            </w:tcBorders>
            <w:vAlign w:val="bottom"/>
          </w:tcPr>
          <w:p w:rsidR="00B05080" w:rsidRPr="004A6B89" w:rsidRDefault="00B05080" w:rsidP="00C37F94">
            <w:pPr>
              <w:tabs>
                <w:tab w:val="decimal" w:pos="990"/>
                <w:tab w:val="decimal" w:pos="2070"/>
                <w:tab w:val="left" w:pos="2880"/>
                <w:tab w:val="decimal" w:pos="4140"/>
                <w:tab w:val="decimal" w:pos="4860"/>
                <w:tab w:val="decimal" w:pos="7020"/>
                <w:tab w:val="decimal" w:pos="7110"/>
              </w:tabs>
              <w:jc w:val="right"/>
              <w:rPr>
                <w:b/>
              </w:rPr>
            </w:pPr>
            <w:r w:rsidRPr="004A6B89">
              <w:rPr>
                <w:rFonts w:cs="Arial"/>
                <w:b/>
                <w:bCs/>
                <w:color w:val="000000"/>
                <w:lang w:eastAsia="en-GB"/>
              </w:rPr>
              <w:t>1Q13 Shipments</w:t>
            </w:r>
          </w:p>
        </w:tc>
        <w:tc>
          <w:tcPr>
            <w:tcW w:w="1512" w:type="dxa"/>
            <w:tcBorders>
              <w:top w:val="single" w:sz="6" w:space="0" w:color="auto"/>
              <w:bottom w:val="single" w:sz="6" w:space="0" w:color="auto"/>
            </w:tcBorders>
            <w:vAlign w:val="bottom"/>
          </w:tcPr>
          <w:p w:rsidR="00B05080" w:rsidRPr="004A6B89" w:rsidRDefault="00B05080" w:rsidP="00C37F94">
            <w:pPr>
              <w:tabs>
                <w:tab w:val="decimal" w:pos="990"/>
                <w:tab w:val="decimal" w:pos="2070"/>
                <w:tab w:val="left" w:pos="2880"/>
                <w:tab w:val="decimal" w:pos="4140"/>
                <w:tab w:val="decimal" w:pos="4860"/>
                <w:tab w:val="decimal" w:pos="7020"/>
                <w:tab w:val="decimal" w:pos="7110"/>
              </w:tabs>
              <w:jc w:val="right"/>
              <w:rPr>
                <w:b/>
              </w:rPr>
            </w:pPr>
            <w:r w:rsidRPr="004A6B89">
              <w:rPr>
                <w:rFonts w:cs="Arial"/>
                <w:b/>
                <w:bCs/>
                <w:color w:val="000000"/>
                <w:lang w:eastAsia="en-GB"/>
              </w:rPr>
              <w:t>1Q13 Market Share (%)</w:t>
            </w:r>
          </w:p>
        </w:tc>
        <w:tc>
          <w:tcPr>
            <w:tcW w:w="1368" w:type="dxa"/>
            <w:tcBorders>
              <w:top w:val="single" w:sz="6" w:space="0" w:color="auto"/>
              <w:bottom w:val="single" w:sz="6" w:space="0" w:color="auto"/>
            </w:tcBorders>
            <w:vAlign w:val="bottom"/>
          </w:tcPr>
          <w:p w:rsidR="00B05080" w:rsidRPr="004A6B89" w:rsidRDefault="00B05080" w:rsidP="00C37F94">
            <w:pPr>
              <w:tabs>
                <w:tab w:val="decimal" w:pos="990"/>
                <w:tab w:val="decimal" w:pos="2070"/>
                <w:tab w:val="left" w:pos="2880"/>
                <w:tab w:val="decimal" w:pos="4140"/>
                <w:tab w:val="decimal" w:pos="4860"/>
                <w:tab w:val="decimal" w:pos="7020"/>
                <w:tab w:val="decimal" w:pos="7110"/>
              </w:tabs>
              <w:jc w:val="right"/>
              <w:rPr>
                <w:b/>
              </w:rPr>
            </w:pPr>
            <w:r w:rsidRPr="004A6B89">
              <w:rPr>
                <w:rFonts w:cs="Arial"/>
                <w:b/>
                <w:bCs/>
                <w:color w:val="000000"/>
                <w:lang w:eastAsia="en-GB"/>
              </w:rPr>
              <w:t>1Q12 Shipments</w:t>
            </w:r>
          </w:p>
        </w:tc>
        <w:tc>
          <w:tcPr>
            <w:tcW w:w="1512" w:type="dxa"/>
            <w:tcBorders>
              <w:top w:val="single" w:sz="6" w:space="0" w:color="auto"/>
              <w:bottom w:val="single" w:sz="6" w:space="0" w:color="auto"/>
            </w:tcBorders>
            <w:vAlign w:val="bottom"/>
          </w:tcPr>
          <w:p w:rsidR="00B05080" w:rsidRPr="004A6B89" w:rsidRDefault="00B05080" w:rsidP="00C37F94">
            <w:pPr>
              <w:tabs>
                <w:tab w:val="decimal" w:pos="990"/>
                <w:tab w:val="decimal" w:pos="2070"/>
                <w:tab w:val="left" w:pos="2880"/>
                <w:tab w:val="decimal" w:pos="4140"/>
                <w:tab w:val="decimal" w:pos="4860"/>
                <w:tab w:val="decimal" w:pos="7020"/>
                <w:tab w:val="decimal" w:pos="7110"/>
              </w:tabs>
              <w:jc w:val="right"/>
              <w:rPr>
                <w:b/>
              </w:rPr>
            </w:pPr>
            <w:r w:rsidRPr="004A6B89">
              <w:rPr>
                <w:rFonts w:cs="Arial"/>
                <w:b/>
                <w:bCs/>
                <w:color w:val="000000"/>
                <w:lang w:eastAsia="en-GB"/>
              </w:rPr>
              <w:t>1Q12 Market Share (%)</w:t>
            </w:r>
          </w:p>
        </w:tc>
        <w:tc>
          <w:tcPr>
            <w:tcW w:w="1368" w:type="dxa"/>
            <w:tcBorders>
              <w:top w:val="single" w:sz="6" w:space="0" w:color="auto"/>
              <w:bottom w:val="single" w:sz="6" w:space="0" w:color="auto"/>
            </w:tcBorders>
            <w:vAlign w:val="bottom"/>
          </w:tcPr>
          <w:p w:rsidR="00B05080" w:rsidRPr="004A6B89" w:rsidRDefault="00B05080" w:rsidP="00C37F94">
            <w:pPr>
              <w:tabs>
                <w:tab w:val="decimal" w:pos="990"/>
                <w:tab w:val="decimal" w:pos="2070"/>
                <w:tab w:val="left" w:pos="2880"/>
                <w:tab w:val="decimal" w:pos="4140"/>
                <w:tab w:val="decimal" w:pos="4860"/>
                <w:tab w:val="decimal" w:pos="7020"/>
                <w:tab w:val="decimal" w:pos="7110"/>
              </w:tabs>
              <w:jc w:val="right"/>
              <w:rPr>
                <w:b/>
              </w:rPr>
            </w:pPr>
            <w:r w:rsidRPr="004A6B89">
              <w:rPr>
                <w:rFonts w:cs="Arial"/>
                <w:b/>
                <w:bCs/>
                <w:color w:val="000000"/>
                <w:lang w:eastAsia="en-GB"/>
              </w:rPr>
              <w:t>1Q12-1Q13 Growth (%)</w:t>
            </w:r>
          </w:p>
        </w:tc>
      </w:tr>
      <w:tr w:rsidR="00B05080" w:rsidRPr="004A6B89" w:rsidTr="00C37F94">
        <w:tc>
          <w:tcPr>
            <w:tcW w:w="3168" w:type="dxa"/>
            <w:tcBorders>
              <w:top w:val="nil"/>
            </w:tcBorders>
            <w:vAlign w:val="bottom"/>
          </w:tcPr>
          <w:p w:rsidR="00B05080" w:rsidRPr="00B05080" w:rsidRDefault="00B05080" w:rsidP="00C37F94">
            <w:pPr>
              <w:rPr>
                <w:rFonts w:cs="Arial"/>
              </w:rPr>
            </w:pPr>
            <w:r w:rsidRPr="00B05080">
              <w:rPr>
                <w:rFonts w:cs="Arial"/>
              </w:rPr>
              <w:t>HP</w:t>
            </w:r>
          </w:p>
        </w:tc>
        <w:tc>
          <w:tcPr>
            <w:tcW w:w="1440" w:type="dxa"/>
            <w:tcBorders>
              <w:top w:val="nil"/>
            </w:tcBorders>
            <w:vAlign w:val="bottom"/>
          </w:tcPr>
          <w:p w:rsidR="00B05080" w:rsidRPr="00B05080" w:rsidRDefault="00B05080" w:rsidP="00C37F94">
            <w:pPr>
              <w:jc w:val="right"/>
              <w:rPr>
                <w:rFonts w:cs="Arial"/>
              </w:rPr>
            </w:pPr>
            <w:r w:rsidRPr="00B05080">
              <w:rPr>
                <w:rFonts w:cs="Arial"/>
              </w:rPr>
              <w:t>3,901,380</w:t>
            </w:r>
          </w:p>
        </w:tc>
        <w:tc>
          <w:tcPr>
            <w:tcW w:w="1512" w:type="dxa"/>
            <w:tcBorders>
              <w:top w:val="nil"/>
            </w:tcBorders>
            <w:vAlign w:val="bottom"/>
          </w:tcPr>
          <w:p w:rsidR="00B05080" w:rsidRPr="00B05080" w:rsidRDefault="00B05080" w:rsidP="00C37F94">
            <w:pPr>
              <w:jc w:val="right"/>
              <w:rPr>
                <w:rFonts w:cs="Arial"/>
              </w:rPr>
            </w:pPr>
            <w:r w:rsidRPr="00B05080">
              <w:rPr>
                <w:rFonts w:cs="Arial"/>
              </w:rPr>
              <w:t>16.7</w:t>
            </w:r>
          </w:p>
        </w:tc>
        <w:tc>
          <w:tcPr>
            <w:tcW w:w="1368" w:type="dxa"/>
            <w:tcBorders>
              <w:top w:val="nil"/>
            </w:tcBorders>
            <w:vAlign w:val="bottom"/>
          </w:tcPr>
          <w:p w:rsidR="00B05080" w:rsidRPr="00B05080" w:rsidRDefault="00B05080" w:rsidP="00C37F94">
            <w:pPr>
              <w:jc w:val="right"/>
              <w:rPr>
                <w:rFonts w:cs="Arial"/>
              </w:rPr>
            </w:pPr>
            <w:r w:rsidRPr="00B05080">
              <w:rPr>
                <w:rFonts w:cs="Arial"/>
              </w:rPr>
              <w:t>5,763,921</w:t>
            </w:r>
          </w:p>
        </w:tc>
        <w:tc>
          <w:tcPr>
            <w:tcW w:w="1512" w:type="dxa"/>
            <w:tcBorders>
              <w:top w:val="nil"/>
            </w:tcBorders>
            <w:vAlign w:val="bottom"/>
          </w:tcPr>
          <w:p w:rsidR="00B05080" w:rsidRPr="00B05080" w:rsidRDefault="00B05080" w:rsidP="00C37F94">
            <w:pPr>
              <w:jc w:val="right"/>
              <w:rPr>
                <w:rFonts w:cs="Arial"/>
              </w:rPr>
            </w:pPr>
            <w:r w:rsidRPr="00B05080">
              <w:rPr>
                <w:rFonts w:cs="Arial"/>
              </w:rPr>
              <w:t>20.8</w:t>
            </w:r>
          </w:p>
        </w:tc>
        <w:tc>
          <w:tcPr>
            <w:tcW w:w="1368" w:type="dxa"/>
            <w:tcBorders>
              <w:top w:val="nil"/>
            </w:tcBorders>
            <w:vAlign w:val="bottom"/>
          </w:tcPr>
          <w:p w:rsidR="00B05080" w:rsidRPr="00B05080" w:rsidRDefault="00B05080" w:rsidP="00C37F94">
            <w:pPr>
              <w:jc w:val="right"/>
              <w:rPr>
                <w:rFonts w:cs="Arial"/>
              </w:rPr>
            </w:pPr>
            <w:r w:rsidRPr="00B05080">
              <w:rPr>
                <w:rFonts w:cs="Arial"/>
              </w:rPr>
              <w:t>-32.3</w:t>
            </w:r>
          </w:p>
        </w:tc>
      </w:tr>
      <w:tr w:rsidR="00B05080" w:rsidRPr="004A6B89" w:rsidTr="00C37F94">
        <w:tc>
          <w:tcPr>
            <w:tcW w:w="3168" w:type="dxa"/>
            <w:vAlign w:val="bottom"/>
          </w:tcPr>
          <w:p w:rsidR="00B05080" w:rsidRPr="00B05080" w:rsidRDefault="00B05080" w:rsidP="00C37F94">
            <w:pPr>
              <w:rPr>
                <w:rFonts w:cs="Arial"/>
              </w:rPr>
            </w:pPr>
            <w:r w:rsidRPr="00B05080">
              <w:rPr>
                <w:rFonts w:cs="Arial"/>
              </w:rPr>
              <w:t>Acer</w:t>
            </w:r>
          </w:p>
        </w:tc>
        <w:tc>
          <w:tcPr>
            <w:tcW w:w="1440" w:type="dxa"/>
            <w:vAlign w:val="bottom"/>
          </w:tcPr>
          <w:p w:rsidR="00B05080" w:rsidRPr="00B05080" w:rsidRDefault="00B05080" w:rsidP="00C37F94">
            <w:pPr>
              <w:jc w:val="right"/>
              <w:rPr>
                <w:rFonts w:cs="Arial"/>
              </w:rPr>
            </w:pPr>
            <w:r w:rsidRPr="00B05080">
              <w:rPr>
                <w:rFonts w:cs="Arial"/>
              </w:rPr>
              <w:t>2,912,783</w:t>
            </w:r>
          </w:p>
        </w:tc>
        <w:tc>
          <w:tcPr>
            <w:tcW w:w="1512" w:type="dxa"/>
            <w:vAlign w:val="bottom"/>
          </w:tcPr>
          <w:p w:rsidR="00B05080" w:rsidRPr="00B05080" w:rsidRDefault="00B05080" w:rsidP="00C37F94">
            <w:pPr>
              <w:jc w:val="right"/>
              <w:rPr>
                <w:rFonts w:cs="Arial"/>
              </w:rPr>
            </w:pPr>
            <w:r w:rsidRPr="00B05080">
              <w:rPr>
                <w:rFonts w:cs="Arial"/>
              </w:rPr>
              <w:t>12.5</w:t>
            </w:r>
          </w:p>
        </w:tc>
        <w:tc>
          <w:tcPr>
            <w:tcW w:w="1368" w:type="dxa"/>
            <w:vAlign w:val="bottom"/>
          </w:tcPr>
          <w:p w:rsidR="00B05080" w:rsidRPr="00B05080" w:rsidRDefault="00B05080" w:rsidP="00C37F94">
            <w:pPr>
              <w:jc w:val="right"/>
              <w:rPr>
                <w:rFonts w:cs="Arial"/>
              </w:rPr>
            </w:pPr>
            <w:r w:rsidRPr="00B05080">
              <w:rPr>
                <w:rFonts w:cs="Arial"/>
              </w:rPr>
              <w:t>3,838,516</w:t>
            </w:r>
          </w:p>
        </w:tc>
        <w:tc>
          <w:tcPr>
            <w:tcW w:w="1512" w:type="dxa"/>
            <w:vAlign w:val="bottom"/>
          </w:tcPr>
          <w:p w:rsidR="00B05080" w:rsidRPr="00B05080" w:rsidRDefault="00B05080" w:rsidP="00C37F94">
            <w:pPr>
              <w:jc w:val="right"/>
              <w:rPr>
                <w:rFonts w:cs="Arial"/>
              </w:rPr>
            </w:pPr>
            <w:r w:rsidRPr="00B05080">
              <w:rPr>
                <w:rFonts w:cs="Arial"/>
              </w:rPr>
              <w:t>13.9</w:t>
            </w:r>
          </w:p>
        </w:tc>
        <w:tc>
          <w:tcPr>
            <w:tcW w:w="1368" w:type="dxa"/>
            <w:vAlign w:val="bottom"/>
          </w:tcPr>
          <w:p w:rsidR="00B05080" w:rsidRPr="00B05080" w:rsidRDefault="00B05080" w:rsidP="00C37F94">
            <w:pPr>
              <w:jc w:val="right"/>
              <w:rPr>
                <w:rFonts w:cs="Arial"/>
              </w:rPr>
            </w:pPr>
            <w:r w:rsidRPr="00B05080">
              <w:rPr>
                <w:rFonts w:cs="Arial"/>
              </w:rPr>
              <w:t>-24.1</w:t>
            </w:r>
          </w:p>
        </w:tc>
      </w:tr>
      <w:tr w:rsidR="00B05080" w:rsidRPr="004A6B89" w:rsidTr="00C37F94">
        <w:tc>
          <w:tcPr>
            <w:tcW w:w="3168" w:type="dxa"/>
            <w:vAlign w:val="bottom"/>
          </w:tcPr>
          <w:p w:rsidR="00B05080" w:rsidRPr="00B05080" w:rsidRDefault="00B05080" w:rsidP="00C37F94">
            <w:pPr>
              <w:rPr>
                <w:rFonts w:cs="Arial"/>
              </w:rPr>
            </w:pPr>
            <w:r w:rsidRPr="00B05080">
              <w:rPr>
                <w:rFonts w:cs="Arial"/>
              </w:rPr>
              <w:t>Lenovo</w:t>
            </w:r>
          </w:p>
        </w:tc>
        <w:tc>
          <w:tcPr>
            <w:tcW w:w="1440" w:type="dxa"/>
            <w:vAlign w:val="bottom"/>
          </w:tcPr>
          <w:p w:rsidR="00B05080" w:rsidRPr="00B05080" w:rsidRDefault="00B05080" w:rsidP="00C37F94">
            <w:pPr>
              <w:jc w:val="right"/>
              <w:rPr>
                <w:rFonts w:cs="Arial"/>
              </w:rPr>
            </w:pPr>
            <w:r w:rsidRPr="00B05080">
              <w:rPr>
                <w:rFonts w:cs="Arial"/>
              </w:rPr>
              <w:t>2,563,504</w:t>
            </w:r>
          </w:p>
        </w:tc>
        <w:tc>
          <w:tcPr>
            <w:tcW w:w="1512" w:type="dxa"/>
            <w:vAlign w:val="bottom"/>
          </w:tcPr>
          <w:p w:rsidR="00B05080" w:rsidRPr="00B05080" w:rsidRDefault="00B05080" w:rsidP="00C37F94">
            <w:pPr>
              <w:jc w:val="right"/>
              <w:rPr>
                <w:rFonts w:cs="Arial"/>
              </w:rPr>
            </w:pPr>
            <w:r w:rsidRPr="00B05080">
              <w:rPr>
                <w:rFonts w:cs="Arial"/>
              </w:rPr>
              <w:t>11.0</w:t>
            </w:r>
          </w:p>
        </w:tc>
        <w:tc>
          <w:tcPr>
            <w:tcW w:w="1368" w:type="dxa"/>
            <w:vAlign w:val="bottom"/>
          </w:tcPr>
          <w:p w:rsidR="00B05080" w:rsidRPr="00B05080" w:rsidRDefault="00B05080" w:rsidP="00C37F94">
            <w:pPr>
              <w:jc w:val="right"/>
              <w:rPr>
                <w:rFonts w:cs="Arial"/>
              </w:rPr>
            </w:pPr>
            <w:r w:rsidRPr="00B05080">
              <w:rPr>
                <w:rFonts w:cs="Arial"/>
              </w:rPr>
              <w:t>2,307,299</w:t>
            </w:r>
          </w:p>
        </w:tc>
        <w:tc>
          <w:tcPr>
            <w:tcW w:w="1512" w:type="dxa"/>
            <w:vAlign w:val="bottom"/>
          </w:tcPr>
          <w:p w:rsidR="00B05080" w:rsidRPr="00B05080" w:rsidRDefault="00B05080" w:rsidP="00C37F94">
            <w:pPr>
              <w:jc w:val="right"/>
              <w:rPr>
                <w:rFonts w:cs="Arial"/>
              </w:rPr>
            </w:pPr>
            <w:r w:rsidRPr="00B05080">
              <w:rPr>
                <w:rFonts w:cs="Arial"/>
              </w:rPr>
              <w:t>8.3</w:t>
            </w:r>
          </w:p>
        </w:tc>
        <w:tc>
          <w:tcPr>
            <w:tcW w:w="1368" w:type="dxa"/>
            <w:vAlign w:val="bottom"/>
          </w:tcPr>
          <w:p w:rsidR="00B05080" w:rsidRPr="00B05080" w:rsidRDefault="00B05080" w:rsidP="00C37F94">
            <w:pPr>
              <w:jc w:val="right"/>
              <w:rPr>
                <w:rFonts w:cs="Arial"/>
              </w:rPr>
            </w:pPr>
            <w:r w:rsidRPr="00B05080">
              <w:rPr>
                <w:rFonts w:cs="Arial"/>
              </w:rPr>
              <w:t>11.1</w:t>
            </w:r>
          </w:p>
        </w:tc>
      </w:tr>
      <w:tr w:rsidR="00B05080" w:rsidRPr="004A6B89" w:rsidTr="00C37F94">
        <w:tc>
          <w:tcPr>
            <w:tcW w:w="3168" w:type="dxa"/>
            <w:vAlign w:val="bottom"/>
          </w:tcPr>
          <w:p w:rsidR="00B05080" w:rsidRPr="00B05080" w:rsidRDefault="00B05080" w:rsidP="00C37F94">
            <w:pPr>
              <w:rPr>
                <w:rFonts w:cs="Arial"/>
              </w:rPr>
            </w:pPr>
            <w:r w:rsidRPr="00B05080">
              <w:rPr>
                <w:rFonts w:cs="Arial"/>
              </w:rPr>
              <w:t>Dell</w:t>
            </w:r>
          </w:p>
        </w:tc>
        <w:tc>
          <w:tcPr>
            <w:tcW w:w="1440" w:type="dxa"/>
            <w:vAlign w:val="bottom"/>
          </w:tcPr>
          <w:p w:rsidR="00B05080" w:rsidRPr="00B05080" w:rsidRDefault="00B05080" w:rsidP="00C37F94">
            <w:pPr>
              <w:jc w:val="right"/>
              <w:rPr>
                <w:rFonts w:cs="Arial"/>
              </w:rPr>
            </w:pPr>
            <w:r w:rsidRPr="00B05080">
              <w:rPr>
                <w:rFonts w:cs="Arial"/>
              </w:rPr>
              <w:t>2,086,620</w:t>
            </w:r>
          </w:p>
        </w:tc>
        <w:tc>
          <w:tcPr>
            <w:tcW w:w="1512" w:type="dxa"/>
            <w:vAlign w:val="bottom"/>
          </w:tcPr>
          <w:p w:rsidR="00B05080" w:rsidRPr="00B05080" w:rsidRDefault="00B05080" w:rsidP="00C37F94">
            <w:pPr>
              <w:jc w:val="right"/>
              <w:rPr>
                <w:rFonts w:cs="Arial"/>
              </w:rPr>
            </w:pPr>
            <w:r w:rsidRPr="00B05080">
              <w:rPr>
                <w:rFonts w:cs="Arial"/>
              </w:rPr>
              <w:t>9.0</w:t>
            </w:r>
          </w:p>
        </w:tc>
        <w:tc>
          <w:tcPr>
            <w:tcW w:w="1368" w:type="dxa"/>
            <w:vAlign w:val="bottom"/>
          </w:tcPr>
          <w:p w:rsidR="00B05080" w:rsidRPr="00B05080" w:rsidRDefault="00B05080" w:rsidP="00C37F94">
            <w:pPr>
              <w:jc w:val="right"/>
              <w:rPr>
                <w:rFonts w:cs="Arial"/>
              </w:rPr>
            </w:pPr>
            <w:r w:rsidRPr="00B05080">
              <w:rPr>
                <w:rFonts w:cs="Arial"/>
              </w:rPr>
              <w:t>2,482,425</w:t>
            </w:r>
          </w:p>
        </w:tc>
        <w:tc>
          <w:tcPr>
            <w:tcW w:w="1512" w:type="dxa"/>
            <w:vAlign w:val="bottom"/>
          </w:tcPr>
          <w:p w:rsidR="00B05080" w:rsidRPr="00B05080" w:rsidRDefault="00B05080" w:rsidP="00C37F94">
            <w:pPr>
              <w:jc w:val="right"/>
              <w:rPr>
                <w:rFonts w:cs="Arial"/>
              </w:rPr>
            </w:pPr>
            <w:r w:rsidRPr="00B05080">
              <w:rPr>
                <w:rFonts w:cs="Arial"/>
              </w:rPr>
              <w:t>9.0</w:t>
            </w:r>
          </w:p>
        </w:tc>
        <w:tc>
          <w:tcPr>
            <w:tcW w:w="1368" w:type="dxa"/>
            <w:vAlign w:val="bottom"/>
          </w:tcPr>
          <w:p w:rsidR="00B05080" w:rsidRPr="00B05080" w:rsidRDefault="00B05080" w:rsidP="00C37F94">
            <w:pPr>
              <w:jc w:val="right"/>
              <w:rPr>
                <w:rFonts w:cs="Arial"/>
              </w:rPr>
            </w:pPr>
            <w:r w:rsidRPr="00B05080">
              <w:rPr>
                <w:rFonts w:cs="Arial"/>
              </w:rPr>
              <w:t>-15.9</w:t>
            </w:r>
          </w:p>
        </w:tc>
      </w:tr>
      <w:tr w:rsidR="00B05080" w:rsidRPr="004A6B89" w:rsidTr="00C37F94">
        <w:tc>
          <w:tcPr>
            <w:tcW w:w="3168" w:type="dxa"/>
            <w:vAlign w:val="bottom"/>
          </w:tcPr>
          <w:p w:rsidR="00B05080" w:rsidRPr="00B05080" w:rsidRDefault="00B05080" w:rsidP="00C37F94">
            <w:pPr>
              <w:rPr>
                <w:rFonts w:cs="Arial"/>
              </w:rPr>
            </w:pPr>
            <w:r w:rsidRPr="00B05080">
              <w:rPr>
                <w:rFonts w:cs="Arial"/>
              </w:rPr>
              <w:t>Asus</w:t>
            </w:r>
          </w:p>
        </w:tc>
        <w:tc>
          <w:tcPr>
            <w:tcW w:w="1440" w:type="dxa"/>
            <w:vAlign w:val="bottom"/>
          </w:tcPr>
          <w:p w:rsidR="00B05080" w:rsidRPr="00B05080" w:rsidRDefault="00B05080" w:rsidP="00C37F94">
            <w:pPr>
              <w:jc w:val="right"/>
              <w:rPr>
                <w:rFonts w:cs="Arial"/>
              </w:rPr>
            </w:pPr>
            <w:r w:rsidRPr="00B05080">
              <w:rPr>
                <w:rFonts w:cs="Arial"/>
              </w:rPr>
              <w:t>2,004,076</w:t>
            </w:r>
          </w:p>
        </w:tc>
        <w:tc>
          <w:tcPr>
            <w:tcW w:w="1512" w:type="dxa"/>
            <w:vAlign w:val="bottom"/>
          </w:tcPr>
          <w:p w:rsidR="00B05080" w:rsidRPr="00B05080" w:rsidRDefault="00B05080" w:rsidP="00C37F94">
            <w:pPr>
              <w:jc w:val="right"/>
              <w:rPr>
                <w:rFonts w:cs="Arial"/>
              </w:rPr>
            </w:pPr>
            <w:r w:rsidRPr="00B05080">
              <w:rPr>
                <w:rFonts w:cs="Arial"/>
              </w:rPr>
              <w:t>8.6</w:t>
            </w:r>
          </w:p>
        </w:tc>
        <w:tc>
          <w:tcPr>
            <w:tcW w:w="1368" w:type="dxa"/>
            <w:vAlign w:val="bottom"/>
          </w:tcPr>
          <w:p w:rsidR="00B05080" w:rsidRPr="00B05080" w:rsidRDefault="00B05080" w:rsidP="00C37F94">
            <w:pPr>
              <w:jc w:val="right"/>
              <w:rPr>
                <w:rFonts w:cs="Arial"/>
              </w:rPr>
            </w:pPr>
            <w:r w:rsidRPr="00B05080">
              <w:rPr>
                <w:rFonts w:cs="Arial"/>
              </w:rPr>
              <w:t>2,449,660</w:t>
            </w:r>
          </w:p>
        </w:tc>
        <w:tc>
          <w:tcPr>
            <w:tcW w:w="1512" w:type="dxa"/>
            <w:vAlign w:val="bottom"/>
          </w:tcPr>
          <w:p w:rsidR="00B05080" w:rsidRPr="00B05080" w:rsidRDefault="00B05080" w:rsidP="00C37F94">
            <w:pPr>
              <w:jc w:val="right"/>
              <w:rPr>
                <w:rFonts w:cs="Arial"/>
              </w:rPr>
            </w:pPr>
            <w:r w:rsidRPr="00B05080">
              <w:rPr>
                <w:rFonts w:cs="Arial"/>
              </w:rPr>
              <w:t>8.8</w:t>
            </w:r>
          </w:p>
        </w:tc>
        <w:tc>
          <w:tcPr>
            <w:tcW w:w="1368" w:type="dxa"/>
            <w:vAlign w:val="bottom"/>
          </w:tcPr>
          <w:p w:rsidR="00B05080" w:rsidRPr="00B05080" w:rsidRDefault="00B05080" w:rsidP="00C37F94">
            <w:pPr>
              <w:jc w:val="right"/>
              <w:rPr>
                <w:rFonts w:cs="Arial"/>
              </w:rPr>
            </w:pPr>
            <w:r w:rsidRPr="00B05080">
              <w:rPr>
                <w:rFonts w:cs="Arial"/>
              </w:rPr>
              <w:t>-18.2</w:t>
            </w:r>
          </w:p>
        </w:tc>
      </w:tr>
      <w:tr w:rsidR="00B05080" w:rsidRPr="004A6B89" w:rsidTr="006E1761">
        <w:tc>
          <w:tcPr>
            <w:tcW w:w="3168" w:type="dxa"/>
            <w:vAlign w:val="bottom"/>
          </w:tcPr>
          <w:p w:rsidR="00B05080" w:rsidRPr="00B05080" w:rsidRDefault="00B05080" w:rsidP="00C37F94">
            <w:pPr>
              <w:pStyle w:val="CellBodyL"/>
              <w:rPr>
                <w:rFonts w:cs="Arial"/>
                <w:sz w:val="20"/>
              </w:rPr>
            </w:pPr>
            <w:r w:rsidRPr="00B05080">
              <w:rPr>
                <w:rFonts w:cs="Arial"/>
              </w:rPr>
              <w:t>Others</w:t>
            </w:r>
          </w:p>
        </w:tc>
        <w:tc>
          <w:tcPr>
            <w:tcW w:w="1440" w:type="dxa"/>
            <w:vAlign w:val="bottom"/>
          </w:tcPr>
          <w:p w:rsidR="00B05080" w:rsidRPr="00B05080" w:rsidRDefault="00B05080" w:rsidP="00C37F94">
            <w:pPr>
              <w:jc w:val="right"/>
              <w:rPr>
                <w:rFonts w:cs="Arial"/>
              </w:rPr>
            </w:pPr>
            <w:r w:rsidRPr="00B05080">
              <w:rPr>
                <w:rFonts w:cs="Arial"/>
              </w:rPr>
              <w:t>9,823,978</w:t>
            </w:r>
          </w:p>
        </w:tc>
        <w:tc>
          <w:tcPr>
            <w:tcW w:w="1512" w:type="dxa"/>
            <w:vAlign w:val="bottom"/>
          </w:tcPr>
          <w:p w:rsidR="00B05080" w:rsidRPr="00B05080" w:rsidRDefault="00B05080" w:rsidP="00C37F94">
            <w:pPr>
              <w:jc w:val="right"/>
              <w:rPr>
                <w:rFonts w:cs="Arial"/>
              </w:rPr>
            </w:pPr>
            <w:r w:rsidRPr="00B05080">
              <w:rPr>
                <w:rFonts w:cs="Arial"/>
              </w:rPr>
              <w:t>42.2</w:t>
            </w:r>
          </w:p>
        </w:tc>
        <w:tc>
          <w:tcPr>
            <w:tcW w:w="1368" w:type="dxa"/>
            <w:vAlign w:val="bottom"/>
          </w:tcPr>
          <w:p w:rsidR="00B05080" w:rsidRPr="00B05080" w:rsidRDefault="00B05080" w:rsidP="00C37F94">
            <w:pPr>
              <w:jc w:val="right"/>
              <w:rPr>
                <w:rFonts w:cs="Arial"/>
              </w:rPr>
            </w:pPr>
            <w:r w:rsidRPr="00B05080">
              <w:rPr>
                <w:rFonts w:cs="Arial"/>
              </w:rPr>
              <w:t>10,898,853</w:t>
            </w:r>
          </w:p>
        </w:tc>
        <w:tc>
          <w:tcPr>
            <w:tcW w:w="1512" w:type="dxa"/>
            <w:vAlign w:val="bottom"/>
          </w:tcPr>
          <w:p w:rsidR="00B05080" w:rsidRPr="00B05080" w:rsidRDefault="00B05080" w:rsidP="00C37F94">
            <w:pPr>
              <w:jc w:val="right"/>
              <w:rPr>
                <w:rFonts w:cs="Arial"/>
              </w:rPr>
            </w:pPr>
            <w:r w:rsidRPr="00B05080">
              <w:rPr>
                <w:rFonts w:cs="Arial"/>
              </w:rPr>
              <w:t>39.3</w:t>
            </w:r>
          </w:p>
        </w:tc>
        <w:tc>
          <w:tcPr>
            <w:tcW w:w="1368" w:type="dxa"/>
            <w:vAlign w:val="bottom"/>
          </w:tcPr>
          <w:p w:rsidR="00B05080" w:rsidRPr="00B05080" w:rsidRDefault="00B05080" w:rsidP="00C37F94">
            <w:pPr>
              <w:jc w:val="right"/>
              <w:rPr>
                <w:rFonts w:cs="Arial"/>
              </w:rPr>
            </w:pPr>
            <w:r w:rsidRPr="00B05080">
              <w:rPr>
                <w:rFonts w:cs="Arial"/>
              </w:rPr>
              <w:t>-9.9</w:t>
            </w:r>
          </w:p>
        </w:tc>
      </w:tr>
      <w:tr w:rsidR="00B05080" w:rsidRPr="004A6B89" w:rsidTr="006E1761">
        <w:tc>
          <w:tcPr>
            <w:tcW w:w="3168" w:type="dxa"/>
            <w:vAlign w:val="bottom"/>
          </w:tcPr>
          <w:p w:rsidR="00B05080" w:rsidRPr="00B05080" w:rsidRDefault="00B05080" w:rsidP="00C37F94">
            <w:pPr>
              <w:pStyle w:val="CellBodyL"/>
              <w:rPr>
                <w:rFonts w:cs="Arial"/>
                <w:b/>
                <w:sz w:val="20"/>
              </w:rPr>
            </w:pPr>
            <w:r w:rsidRPr="00B05080">
              <w:rPr>
                <w:rFonts w:cs="Arial"/>
                <w:b/>
              </w:rPr>
              <w:t>Total</w:t>
            </w:r>
          </w:p>
        </w:tc>
        <w:tc>
          <w:tcPr>
            <w:tcW w:w="1440" w:type="dxa"/>
            <w:vAlign w:val="bottom"/>
          </w:tcPr>
          <w:p w:rsidR="00B05080" w:rsidRPr="00B05080" w:rsidRDefault="00B05080" w:rsidP="00C37F94">
            <w:pPr>
              <w:jc w:val="right"/>
              <w:rPr>
                <w:rFonts w:cs="Arial"/>
                <w:b/>
                <w:bCs/>
              </w:rPr>
            </w:pPr>
            <w:r w:rsidRPr="00B05080">
              <w:rPr>
                <w:rFonts w:cs="Arial"/>
                <w:b/>
              </w:rPr>
              <w:t>23,292,341</w:t>
            </w:r>
          </w:p>
        </w:tc>
        <w:tc>
          <w:tcPr>
            <w:tcW w:w="1512" w:type="dxa"/>
            <w:vAlign w:val="bottom"/>
          </w:tcPr>
          <w:p w:rsidR="00B05080" w:rsidRPr="00B05080" w:rsidRDefault="00B05080" w:rsidP="00C37F94">
            <w:pPr>
              <w:jc w:val="right"/>
              <w:rPr>
                <w:rFonts w:cs="Arial"/>
                <w:b/>
                <w:bCs/>
              </w:rPr>
            </w:pPr>
            <w:r w:rsidRPr="00B05080">
              <w:rPr>
                <w:rFonts w:cs="Arial"/>
                <w:b/>
              </w:rPr>
              <w:t>100.0</w:t>
            </w:r>
          </w:p>
        </w:tc>
        <w:tc>
          <w:tcPr>
            <w:tcW w:w="1368" w:type="dxa"/>
            <w:vAlign w:val="bottom"/>
          </w:tcPr>
          <w:p w:rsidR="00B05080" w:rsidRPr="00B05080" w:rsidRDefault="00B05080" w:rsidP="00C37F94">
            <w:pPr>
              <w:jc w:val="right"/>
              <w:rPr>
                <w:rFonts w:cs="Arial"/>
                <w:b/>
                <w:bCs/>
              </w:rPr>
            </w:pPr>
            <w:r w:rsidRPr="00B05080">
              <w:rPr>
                <w:rFonts w:cs="Arial"/>
                <w:b/>
              </w:rPr>
              <w:t>27,740,674</w:t>
            </w:r>
          </w:p>
        </w:tc>
        <w:tc>
          <w:tcPr>
            <w:tcW w:w="1512" w:type="dxa"/>
            <w:vAlign w:val="bottom"/>
          </w:tcPr>
          <w:p w:rsidR="00B05080" w:rsidRPr="00B05080" w:rsidRDefault="00B05080" w:rsidP="00C37F94">
            <w:pPr>
              <w:jc w:val="right"/>
              <w:rPr>
                <w:rFonts w:cs="Arial"/>
                <w:b/>
                <w:bCs/>
              </w:rPr>
            </w:pPr>
            <w:r w:rsidRPr="00B05080">
              <w:rPr>
                <w:rFonts w:cs="Arial"/>
                <w:b/>
              </w:rPr>
              <w:t>100.0</w:t>
            </w:r>
          </w:p>
        </w:tc>
        <w:tc>
          <w:tcPr>
            <w:tcW w:w="1368" w:type="dxa"/>
            <w:vAlign w:val="bottom"/>
          </w:tcPr>
          <w:p w:rsidR="00B05080" w:rsidRPr="00B05080" w:rsidRDefault="00B05080" w:rsidP="00C37F94">
            <w:pPr>
              <w:jc w:val="right"/>
              <w:rPr>
                <w:rFonts w:cs="Arial"/>
                <w:b/>
                <w:bCs/>
              </w:rPr>
            </w:pPr>
            <w:r w:rsidRPr="00B05080">
              <w:rPr>
                <w:rFonts w:cs="Arial"/>
                <w:b/>
              </w:rPr>
              <w:t>-16.0</w:t>
            </w:r>
          </w:p>
        </w:tc>
      </w:tr>
    </w:tbl>
    <w:p w:rsidR="00B05080" w:rsidRPr="004A6B89" w:rsidRDefault="00B05080" w:rsidP="00B05080">
      <w:pPr>
        <w:jc w:val="left"/>
        <w:rPr>
          <w:sz w:val="16"/>
          <w:szCs w:val="16"/>
        </w:rPr>
      </w:pPr>
      <w:r w:rsidRPr="004A6B89">
        <w:rPr>
          <w:sz w:val="16"/>
          <w:szCs w:val="16"/>
        </w:rPr>
        <w:t>Note: Data includes desk-based PCs and mobile PCs, including mini-notebooks but not media tablets such as the iPad.</w:t>
      </w:r>
    </w:p>
    <w:p w:rsidR="00B05080" w:rsidRPr="004A6B89" w:rsidRDefault="00B05080" w:rsidP="00B05080">
      <w:pPr>
        <w:jc w:val="left"/>
        <w:rPr>
          <w:sz w:val="16"/>
        </w:rPr>
      </w:pPr>
      <w:r w:rsidRPr="004A6B89">
        <w:rPr>
          <w:sz w:val="16"/>
        </w:rPr>
        <w:t>Source: Gartner (April 2013)</w:t>
      </w:r>
    </w:p>
    <w:p w:rsidR="00B05080" w:rsidRDefault="00B05080" w:rsidP="004A6B89">
      <w:pPr>
        <w:pStyle w:val="Default"/>
        <w:rPr>
          <w:rFonts w:ascii="Arial" w:hAnsi="Arial" w:cs="Arial"/>
          <w:sz w:val="16"/>
          <w:szCs w:val="16"/>
          <w:lang w:val="en-GB"/>
        </w:rPr>
      </w:pPr>
    </w:p>
    <w:p w:rsidR="00924102" w:rsidRPr="004A6B89" w:rsidRDefault="00924102" w:rsidP="00924102">
      <w:pPr>
        <w:pStyle w:val="contact"/>
        <w:tabs>
          <w:tab w:val="clear" w:pos="9180"/>
        </w:tabs>
        <w:rPr>
          <w:rFonts w:ascii="Arial" w:hAnsi="Arial" w:cs="Arial"/>
        </w:rPr>
      </w:pPr>
      <w:r w:rsidRPr="004A6B89">
        <w:rPr>
          <w:rFonts w:ascii="Arial" w:hAnsi="Arial" w:cs="Arial"/>
        </w:rPr>
        <w:t xml:space="preserve">In Asia/Pacific, PC shipments totalled 27.6 million units in the first quarter of 2013, a 10.3 </w:t>
      </w:r>
      <w:r>
        <w:rPr>
          <w:rFonts w:ascii="Arial" w:hAnsi="Arial" w:cs="Arial"/>
        </w:rPr>
        <w:t>per cent</w:t>
      </w:r>
      <w:r w:rsidRPr="004A6B89">
        <w:rPr>
          <w:rFonts w:ascii="Arial" w:hAnsi="Arial" w:cs="Arial"/>
        </w:rPr>
        <w:t xml:space="preserve"> decline from the first quarter of 2012. This region also experienced its strongest decline since Gartner began tracking PC shipments. Asia/Pacific buyers remained cautious in spending amid a fragile economic environment. Both China and India experienced year-o</w:t>
      </w:r>
      <w:r w:rsidR="003728BA">
        <w:rPr>
          <w:rFonts w:ascii="Arial" w:hAnsi="Arial" w:cs="Arial"/>
        </w:rPr>
        <w:t>n</w:t>
      </w:r>
      <w:r w:rsidRPr="004A6B89">
        <w:rPr>
          <w:rFonts w:ascii="Arial" w:hAnsi="Arial" w:cs="Arial"/>
        </w:rPr>
        <w:t>-year shipment declines.</w:t>
      </w:r>
    </w:p>
    <w:p w:rsidR="00924102" w:rsidRDefault="00924102">
      <w:pPr>
        <w:jc w:val="left"/>
        <w:rPr>
          <w:sz w:val="22"/>
        </w:rPr>
      </w:pPr>
    </w:p>
    <w:p w:rsidR="00DD417E" w:rsidRPr="004A6B89" w:rsidRDefault="00ED78ED">
      <w:pPr>
        <w:jc w:val="left"/>
        <w:rPr>
          <w:sz w:val="22"/>
        </w:rPr>
      </w:pPr>
      <w:r w:rsidRPr="004A6B89">
        <w:rPr>
          <w:sz w:val="22"/>
        </w:rPr>
        <w:t>These results are preliminary. Final statistics will be available soon to clients of Gartner</w:t>
      </w:r>
      <w:r w:rsidR="0094528B" w:rsidRPr="004A6B89">
        <w:rPr>
          <w:sz w:val="22"/>
        </w:rPr>
        <w:t>'</w:t>
      </w:r>
      <w:r w:rsidRPr="004A6B89">
        <w:rPr>
          <w:sz w:val="22"/>
        </w:rPr>
        <w:t>s PC Quarterly Statistics Worldwide by Region program</w:t>
      </w:r>
      <w:r w:rsidR="00B05080">
        <w:rPr>
          <w:sz w:val="22"/>
        </w:rPr>
        <w:t>me</w:t>
      </w:r>
      <w:r w:rsidRPr="004A6B89">
        <w:rPr>
          <w:sz w:val="22"/>
        </w:rPr>
        <w:t>. This program</w:t>
      </w:r>
      <w:r w:rsidR="00B05080">
        <w:rPr>
          <w:sz w:val="22"/>
        </w:rPr>
        <w:t>me</w:t>
      </w:r>
      <w:r w:rsidRPr="004A6B89">
        <w:rPr>
          <w:sz w:val="22"/>
        </w:rPr>
        <w:t xml:space="preserve"> offers a comprehensive and timely picture of the worldwide PC market, allowing product planning, distribution, marketing and sales organi</w:t>
      </w:r>
      <w:r w:rsidR="00924102">
        <w:rPr>
          <w:sz w:val="22"/>
        </w:rPr>
        <w:t>s</w:t>
      </w:r>
      <w:r w:rsidRPr="004A6B89">
        <w:rPr>
          <w:sz w:val="22"/>
        </w:rPr>
        <w:t>ations to keep abreast of key issues and their future implications around the globe. Additional research can be found on Gartner</w:t>
      </w:r>
      <w:r w:rsidR="0094528B" w:rsidRPr="004A6B89">
        <w:rPr>
          <w:sz w:val="22"/>
        </w:rPr>
        <w:t>'</w:t>
      </w:r>
      <w:r w:rsidRPr="004A6B89">
        <w:rPr>
          <w:sz w:val="22"/>
        </w:rPr>
        <w:t xml:space="preserve">s </w:t>
      </w:r>
      <w:r w:rsidR="00DD417E" w:rsidRPr="004A6B89">
        <w:rPr>
          <w:sz w:val="22"/>
        </w:rPr>
        <w:t>Computing Hardware section</w:t>
      </w:r>
      <w:r w:rsidRPr="004A6B89">
        <w:rPr>
          <w:sz w:val="22"/>
        </w:rPr>
        <w:t xml:space="preserve"> on Gartner</w:t>
      </w:r>
      <w:r w:rsidR="0094528B" w:rsidRPr="004A6B89">
        <w:rPr>
          <w:sz w:val="22"/>
        </w:rPr>
        <w:t>'</w:t>
      </w:r>
      <w:r w:rsidR="00D543AA" w:rsidRPr="004A6B89">
        <w:rPr>
          <w:sz w:val="22"/>
        </w:rPr>
        <w:t>s web</w:t>
      </w:r>
      <w:r w:rsidR="00B05080">
        <w:rPr>
          <w:sz w:val="22"/>
        </w:rPr>
        <w:t xml:space="preserve"> </w:t>
      </w:r>
      <w:r w:rsidRPr="004A6B89">
        <w:rPr>
          <w:sz w:val="22"/>
        </w:rPr>
        <w:t>site at</w:t>
      </w:r>
      <w:r w:rsidR="00DD417E" w:rsidRPr="004A6B89">
        <w:rPr>
          <w:sz w:val="22"/>
        </w:rPr>
        <w:t xml:space="preserve"> </w:t>
      </w:r>
      <w:hyperlink r:id="rId8" w:history="1">
        <w:r w:rsidR="00DD417E" w:rsidRPr="004A6B89">
          <w:rPr>
            <w:rStyle w:val="Hyperlink"/>
            <w:sz w:val="22"/>
          </w:rPr>
          <w:t>http://www.gartner.com/it/products/research/asset_129157_2395.jsp</w:t>
        </w:r>
      </w:hyperlink>
      <w:r w:rsidR="00DD417E" w:rsidRPr="004A6B89">
        <w:rPr>
          <w:sz w:val="22"/>
        </w:rPr>
        <w:t>.</w:t>
      </w:r>
    </w:p>
    <w:p w:rsidR="00ED78ED" w:rsidRPr="004A6B89" w:rsidRDefault="00ED78ED">
      <w:pPr>
        <w:pStyle w:val="BodyText"/>
        <w:widowControl/>
        <w:spacing w:after="0" w:line="240" w:lineRule="auto"/>
        <w:rPr>
          <w:snapToGrid/>
        </w:rPr>
      </w:pPr>
    </w:p>
    <w:p w:rsidR="003C2895" w:rsidRPr="004A6B89" w:rsidRDefault="003C2895">
      <w:pPr>
        <w:pStyle w:val="BodyText"/>
        <w:widowControl/>
        <w:spacing w:after="0" w:line="240" w:lineRule="auto"/>
        <w:rPr>
          <w:b/>
          <w:snapToGrid/>
        </w:rPr>
      </w:pPr>
      <w:r w:rsidRPr="004A6B89">
        <w:rPr>
          <w:b/>
          <w:snapToGrid/>
        </w:rPr>
        <w:t>About Gartner</w:t>
      </w:r>
    </w:p>
    <w:p w:rsidR="00176C18" w:rsidRPr="004A6B89" w:rsidRDefault="00176C18" w:rsidP="00176C18">
      <w:pPr>
        <w:jc w:val="left"/>
        <w:rPr>
          <w:rFonts w:cs="Arial"/>
          <w:sz w:val="22"/>
          <w:szCs w:val="22"/>
        </w:rPr>
      </w:pPr>
      <w:r w:rsidRPr="004A6B89">
        <w:rPr>
          <w:rFonts w:cs="Arial"/>
          <w:sz w:val="22"/>
          <w:szCs w:val="22"/>
        </w:rPr>
        <w:t>Gartner, Inc. (NYSE: IT) is the world's leading</w:t>
      </w:r>
      <w:r w:rsidRPr="004A6B89">
        <w:rPr>
          <w:rFonts w:cs="Arial"/>
          <w:color w:val="000000"/>
          <w:sz w:val="22"/>
          <w:szCs w:val="22"/>
        </w:rPr>
        <w:t xml:space="preserve"> information technology research and advisory company. Gartner delivers the technology-related insight necessary for its clients to make the right decisions, every day. From CIOs and senior IT leaders in corporations and government agencies, to business leaders in high-tech and telecom enterprises and professional services firms, to technology investors, Gartner is a valuable partner in over 13,000 distinct organizations. Through the resources of Gartner Research, Gartner Executive Programs, Gartner Consulting and Gartner Events, Gartner works with every client to research, analyze and interpret the business of IT within the context of their individual role. Founded in 1979, Gartner is headquartered in Stamford, Connecticut, USA, and has 5,500 associates, including 1,400 research analysts and consultants, and clients in 85 countries. For more information, visit </w:t>
      </w:r>
      <w:hyperlink r:id="rId9" w:history="1">
        <w:r w:rsidRPr="004A6B89">
          <w:rPr>
            <w:rStyle w:val="Hyperlink"/>
            <w:rFonts w:cs="Arial"/>
            <w:sz w:val="22"/>
            <w:szCs w:val="22"/>
          </w:rPr>
          <w:t>www.gartner.com</w:t>
        </w:r>
      </w:hyperlink>
      <w:r w:rsidRPr="004A6B89">
        <w:rPr>
          <w:rFonts w:cs="Arial"/>
          <w:color w:val="000000"/>
          <w:sz w:val="22"/>
          <w:szCs w:val="22"/>
        </w:rPr>
        <w:t>.</w:t>
      </w:r>
    </w:p>
    <w:p w:rsidR="00ED78ED" w:rsidRPr="004A6B89" w:rsidRDefault="00ED78ED">
      <w:pPr>
        <w:jc w:val="center"/>
      </w:pPr>
      <w:r w:rsidRPr="004A6B89">
        <w:rPr>
          <w:snapToGrid w:val="0"/>
          <w:sz w:val="22"/>
        </w:rPr>
        <w:t># # #</w:t>
      </w:r>
    </w:p>
    <w:sectPr w:rsidR="00ED78ED" w:rsidRPr="004A6B89" w:rsidSect="006F01B2">
      <w:headerReference w:type="default" r:id="rId10"/>
      <w:footerReference w:type="default" r:id="rId11"/>
      <w:headerReference w:type="first" r:id="rId12"/>
      <w:footerReference w:type="first" r:id="rId13"/>
      <w:pgSz w:w="12240" w:h="15840" w:code="1"/>
      <w:pgMar w:top="562" w:right="850" w:bottom="850" w:left="1008" w:header="850"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949" w:rsidRDefault="00B70949">
      <w:r>
        <w:separator/>
      </w:r>
    </w:p>
  </w:endnote>
  <w:endnote w:type="continuationSeparator" w:id="0">
    <w:p w:rsidR="00B70949" w:rsidRDefault="00B709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Corbel"/>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E" w:rsidRDefault="00295B3E">
    <w:pPr>
      <w:jc w:val="center"/>
    </w:pPr>
  </w:p>
  <w:tbl>
    <w:tblPr>
      <w:tblW w:w="0" w:type="auto"/>
      <w:tblInd w:w="108" w:type="dxa"/>
      <w:tblBorders>
        <w:top w:val="single" w:sz="6" w:space="0" w:color="auto"/>
        <w:right w:val="single" w:sz="6" w:space="0" w:color="auto"/>
        <w:insideV w:val="single" w:sz="6" w:space="0" w:color="auto"/>
      </w:tblBorders>
      <w:tblLayout w:type="fixed"/>
      <w:tblLook w:val="0000"/>
    </w:tblPr>
    <w:tblGrid>
      <w:gridCol w:w="6991"/>
      <w:gridCol w:w="3449"/>
    </w:tblGrid>
    <w:tr w:rsidR="00295B3E">
      <w:tc>
        <w:tcPr>
          <w:tcW w:w="6991" w:type="dxa"/>
        </w:tcPr>
        <w:p w:rsidR="00295B3E" w:rsidRDefault="00295B3E">
          <w:pPr>
            <w:pStyle w:val="xFtrLogo"/>
            <w:rPr>
              <w:b/>
            </w:rPr>
          </w:pPr>
          <w:r>
            <w:rPr>
              <w:b/>
            </w:rPr>
            <w:t xml:space="preserve">Gartner, Inc. </w:t>
          </w:r>
        </w:p>
      </w:tc>
      <w:tc>
        <w:tcPr>
          <w:tcW w:w="3449" w:type="dxa"/>
        </w:tcPr>
        <w:p w:rsidR="00295B3E" w:rsidRDefault="00295B3E">
          <w:pPr>
            <w:pStyle w:val="Footer"/>
            <w:spacing w:before="60"/>
            <w:ind w:left="144"/>
            <w:jc w:val="right"/>
          </w:pPr>
          <w:r>
            <w:t xml:space="preserve">page </w:t>
          </w:r>
          <w:r w:rsidR="004842AD">
            <w:rPr>
              <w:rStyle w:val="PageNumber"/>
            </w:rPr>
            <w:fldChar w:fldCharType="begin"/>
          </w:r>
          <w:r>
            <w:rPr>
              <w:rStyle w:val="PageNumber"/>
            </w:rPr>
            <w:instrText xml:space="preserve"> PAGE </w:instrText>
          </w:r>
          <w:r w:rsidR="004842AD">
            <w:rPr>
              <w:rStyle w:val="PageNumber"/>
            </w:rPr>
            <w:fldChar w:fldCharType="separate"/>
          </w:r>
          <w:r w:rsidR="003728BA">
            <w:rPr>
              <w:rStyle w:val="PageNumber"/>
              <w:noProof/>
            </w:rPr>
            <w:t>2</w:t>
          </w:r>
          <w:r w:rsidR="004842AD">
            <w:rPr>
              <w:rStyle w:val="PageNumber"/>
            </w:rPr>
            <w:fldChar w:fldCharType="end"/>
          </w:r>
        </w:p>
      </w:tc>
    </w:tr>
  </w:tbl>
  <w:p w:rsidR="00295B3E" w:rsidRDefault="00295B3E">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E" w:rsidRDefault="004842AD">
    <w:pPr>
      <w:jc w:val="center"/>
    </w:pPr>
    <w:r>
      <w:fldChar w:fldCharType="begin"/>
    </w:r>
    <w:r w:rsidR="00295B3E">
      <w:instrText xml:space="preserve"> if </w:instrText>
    </w:r>
    <w:fldSimple w:instr=" page ">
      <w:r w:rsidR="003728BA">
        <w:rPr>
          <w:noProof/>
        </w:rPr>
        <w:instrText>1</w:instrText>
      </w:r>
    </w:fldSimple>
    <w:r w:rsidR="00295B3E">
      <w:instrText xml:space="preserve"> = </w:instrText>
    </w:r>
    <w:fldSimple w:instr=" numpages ">
      <w:r w:rsidR="003728BA">
        <w:rPr>
          <w:noProof/>
        </w:rPr>
        <w:instrText>3</w:instrText>
      </w:r>
    </w:fldSimple>
    <w:r w:rsidR="00295B3E">
      <w:instrText xml:space="preserve"> "" "-more-" </w:instrText>
    </w:r>
    <w:r w:rsidR="003728BA">
      <w:fldChar w:fldCharType="separate"/>
    </w:r>
    <w:r w:rsidR="003728BA">
      <w:rPr>
        <w:noProof/>
      </w:rPr>
      <w:t>-more-</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949" w:rsidRDefault="00B70949">
      <w:r>
        <w:separator/>
      </w:r>
    </w:p>
  </w:footnote>
  <w:footnote w:type="continuationSeparator" w:id="0">
    <w:p w:rsidR="00B70949" w:rsidRDefault="00B70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3E" w:rsidRDefault="00295B3E">
    <w:pPr>
      <w:pStyle w:val="Header"/>
    </w:pPr>
  </w:p>
  <w:p w:rsidR="00295B3E" w:rsidRDefault="00295B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2610"/>
      <w:gridCol w:w="900"/>
      <w:gridCol w:w="165"/>
      <w:gridCol w:w="6675"/>
      <w:gridCol w:w="27"/>
    </w:tblGrid>
    <w:tr w:rsidR="00295B3E">
      <w:trPr>
        <w:gridAfter w:val="1"/>
        <w:wAfter w:w="27" w:type="dxa"/>
        <w:cantSplit/>
        <w:trHeight w:hRule="exact" w:val="900"/>
      </w:trPr>
      <w:tc>
        <w:tcPr>
          <w:tcW w:w="2610" w:type="dxa"/>
        </w:tcPr>
        <w:p w:rsidR="00295B3E" w:rsidRDefault="00924102">
          <w:pPr>
            <w:pStyle w:val="xHdrLogo"/>
          </w:pPr>
          <w:r>
            <w:rPr>
              <w:noProof/>
              <w:lang w:eastAsia="en-GB"/>
            </w:rPr>
            <w:drawing>
              <wp:inline distT="0" distB="0" distL="0" distR="0">
                <wp:extent cx="1656080" cy="406400"/>
                <wp:effectExtent l="19050" t="0" r="1270" b="0"/>
                <wp:docPr id="1" name="Picture 1" descr="GGlogotagmark_100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logotagmark_100k"/>
                        <pic:cNvPicPr>
                          <a:picLocks noChangeAspect="1" noChangeArrowheads="1"/>
                        </pic:cNvPicPr>
                      </pic:nvPicPr>
                      <pic:blipFill>
                        <a:blip r:embed="rId1"/>
                        <a:srcRect/>
                        <a:stretch>
                          <a:fillRect/>
                        </a:stretch>
                      </pic:blipFill>
                      <pic:spPr bwMode="auto">
                        <a:xfrm>
                          <a:off x="0" y="0"/>
                          <a:ext cx="1656080" cy="406400"/>
                        </a:xfrm>
                        <a:prstGeom prst="rect">
                          <a:avLst/>
                        </a:prstGeom>
                        <a:noFill/>
                        <a:ln w="9525">
                          <a:noFill/>
                          <a:miter lim="800000"/>
                          <a:headEnd/>
                          <a:tailEnd/>
                        </a:ln>
                      </pic:spPr>
                    </pic:pic>
                  </a:graphicData>
                </a:graphic>
              </wp:inline>
            </w:drawing>
          </w:r>
        </w:p>
      </w:tc>
      <w:tc>
        <w:tcPr>
          <w:tcW w:w="900" w:type="dxa"/>
        </w:tcPr>
        <w:p w:rsidR="00295B3E" w:rsidRDefault="00295B3E"/>
      </w:tc>
      <w:tc>
        <w:tcPr>
          <w:tcW w:w="165" w:type="dxa"/>
          <w:tcBorders>
            <w:bottom w:val="single" w:sz="6" w:space="0" w:color="auto"/>
            <w:right w:val="single" w:sz="6" w:space="0" w:color="auto"/>
          </w:tcBorders>
        </w:tcPr>
        <w:p w:rsidR="00295B3E" w:rsidRDefault="00295B3E"/>
      </w:tc>
      <w:tc>
        <w:tcPr>
          <w:tcW w:w="6675" w:type="dxa"/>
          <w:tcBorders>
            <w:left w:val="single" w:sz="6" w:space="0" w:color="auto"/>
          </w:tcBorders>
        </w:tcPr>
        <w:p w:rsidR="00295B3E" w:rsidRDefault="004842AD">
          <w:pPr>
            <w:pStyle w:val="xHdrServiceName"/>
          </w:pPr>
          <w:r>
            <w:rPr>
              <w:sz w:val="72"/>
            </w:rPr>
            <w:fldChar w:fldCharType="begin"/>
          </w:r>
          <w:r w:rsidR="00295B3E">
            <w:rPr>
              <w:sz w:val="72"/>
            </w:rPr>
            <w:instrText xml:space="preserve"> MACROBUTTON DocumentSetup </w:instrText>
          </w:r>
          <w:r>
            <w:rPr>
              <w:sz w:val="72"/>
            </w:rPr>
            <w:fldChar w:fldCharType="begin"/>
          </w:r>
          <w:r w:rsidR="00295B3E">
            <w:rPr>
              <w:sz w:val="72"/>
            </w:rPr>
            <w:instrText xml:space="preserve"> DOCPROPERTY SubTypeDesc </w:instrText>
          </w:r>
          <w:r>
            <w:rPr>
              <w:sz w:val="72"/>
            </w:rPr>
            <w:fldChar w:fldCharType="separate"/>
          </w:r>
          <w:r w:rsidR="00295B3E">
            <w:rPr>
              <w:sz w:val="72"/>
            </w:rPr>
            <w:instrText>Press Release</w:instrText>
          </w:r>
          <w:r>
            <w:rPr>
              <w:sz w:val="72"/>
            </w:rPr>
            <w:fldChar w:fldCharType="end"/>
          </w:r>
          <w:r>
            <w:rPr>
              <w:sz w:val="72"/>
            </w:rPr>
            <w:fldChar w:fldCharType="end"/>
          </w:r>
        </w:p>
      </w:tc>
    </w:tr>
    <w:tr w:rsidR="00295B3E">
      <w:trPr>
        <w:cantSplit/>
      </w:trPr>
      <w:tc>
        <w:tcPr>
          <w:tcW w:w="3510" w:type="dxa"/>
          <w:gridSpan w:val="2"/>
        </w:tcPr>
        <w:p w:rsidR="00295B3E" w:rsidRDefault="00295B3E">
          <w:pPr>
            <w:spacing w:before="60" w:after="60"/>
            <w:ind w:left="1080"/>
          </w:pPr>
        </w:p>
      </w:tc>
      <w:tc>
        <w:tcPr>
          <w:tcW w:w="165" w:type="dxa"/>
        </w:tcPr>
        <w:p w:rsidR="00295B3E" w:rsidRDefault="00295B3E">
          <w:pPr>
            <w:spacing w:before="60" w:after="60"/>
            <w:ind w:left="1080"/>
            <w:rPr>
              <w:b/>
            </w:rPr>
          </w:pPr>
        </w:p>
      </w:tc>
      <w:tc>
        <w:tcPr>
          <w:tcW w:w="6702" w:type="dxa"/>
          <w:gridSpan w:val="2"/>
        </w:tcPr>
        <w:p w:rsidR="00295B3E" w:rsidRDefault="00295B3E"/>
      </w:tc>
    </w:tr>
  </w:tbl>
  <w:p w:rsidR="00295B3E" w:rsidRDefault="00295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E280332"/>
    <w:lvl w:ilvl="0">
      <w:start w:val="1"/>
      <w:numFmt w:val="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76B5167"/>
    <w:multiLevelType w:val="singleLevel"/>
    <w:tmpl w:val="0DEEA448"/>
    <w:lvl w:ilvl="0">
      <w:start w:val="1"/>
      <w:numFmt w:val="bullet"/>
      <w:lvlText w:val=""/>
      <w:lvlJc w:val="left"/>
      <w:pPr>
        <w:tabs>
          <w:tab w:val="num" w:pos="360"/>
        </w:tabs>
        <w:ind w:left="227" w:hanging="227"/>
      </w:pPr>
      <w:rPr>
        <w:rFonts w:ascii="ZapfDingbats" w:hAnsi="ZapfDingbats" w:hint="default"/>
        <w:sz w:val="16"/>
      </w:rPr>
    </w:lvl>
  </w:abstractNum>
  <w:abstractNum w:abstractNumId="3">
    <w:nsid w:val="19411304"/>
    <w:multiLevelType w:val="multilevel"/>
    <w:tmpl w:val="CAAE1A4E"/>
    <w:name w:val="Bullets"/>
    <w:lvl w:ilvl="0">
      <w:start w:val="1"/>
      <w:numFmt w:val="bullet"/>
      <w:pStyle w:val="ListBullet"/>
      <w:lvlText w:val=""/>
      <w:lvlJc w:val="left"/>
      <w:pPr>
        <w:tabs>
          <w:tab w:val="num" w:pos="806"/>
        </w:tabs>
        <w:ind w:left="806" w:hanging="360"/>
      </w:pPr>
      <w:rPr>
        <w:rFonts w:ascii="Symbol" w:hAnsi="Symbol" w:hint="default"/>
      </w:rPr>
    </w:lvl>
    <w:lvl w:ilvl="1">
      <w:start w:val="1"/>
      <w:numFmt w:val="bullet"/>
      <w:lvlText w:val=""/>
      <w:lvlJc w:val="left"/>
      <w:pPr>
        <w:tabs>
          <w:tab w:val="num" w:pos="1166"/>
        </w:tabs>
        <w:ind w:left="1166" w:hanging="360"/>
      </w:pPr>
      <w:rPr>
        <w:rFonts w:ascii="Symbol" w:hAnsi="Symbol" w:hint="default"/>
      </w:rPr>
    </w:lvl>
    <w:lvl w:ilvl="2">
      <w:start w:val="1"/>
      <w:numFmt w:val="bullet"/>
      <w:lvlText w:val=""/>
      <w:lvlJc w:val="left"/>
      <w:pPr>
        <w:tabs>
          <w:tab w:val="num" w:pos="1526"/>
        </w:tabs>
        <w:ind w:left="1526" w:hanging="360"/>
      </w:pPr>
      <w:rPr>
        <w:rFonts w:ascii="Symbol" w:hAnsi="Symbol" w:hint="default"/>
      </w:rPr>
    </w:lvl>
    <w:lvl w:ilvl="3">
      <w:start w:val="1"/>
      <w:numFmt w:val="bullet"/>
      <w:lvlText w:val=""/>
      <w:lvlJc w:val="left"/>
      <w:pPr>
        <w:tabs>
          <w:tab w:val="num" w:pos="1886"/>
        </w:tabs>
        <w:ind w:left="1886" w:hanging="360"/>
      </w:pPr>
      <w:rPr>
        <w:rFonts w:ascii="Symbol" w:hAnsi="Symbol" w:hint="default"/>
      </w:rPr>
    </w:lvl>
    <w:lvl w:ilvl="4">
      <w:start w:val="1"/>
      <w:numFmt w:val="bullet"/>
      <w:lvlText w:val=""/>
      <w:lvlJc w:val="left"/>
      <w:pPr>
        <w:tabs>
          <w:tab w:val="num" w:pos="2246"/>
        </w:tabs>
        <w:ind w:left="2246" w:hanging="360"/>
      </w:pPr>
      <w:rPr>
        <w:rFonts w:ascii="Symbol" w:hAnsi="Symbol" w:hint="default"/>
      </w:rPr>
    </w:lvl>
    <w:lvl w:ilvl="5">
      <w:start w:val="1"/>
      <w:numFmt w:val="none"/>
      <w:lvlText w:val=""/>
      <w:lvlJc w:val="left"/>
      <w:pPr>
        <w:tabs>
          <w:tab w:val="num" w:pos="2606"/>
        </w:tabs>
        <w:ind w:left="2606" w:hanging="360"/>
      </w:pPr>
      <w:rPr>
        <w:rFonts w:hint="default"/>
      </w:rPr>
    </w:lvl>
    <w:lvl w:ilvl="6">
      <w:start w:val="1"/>
      <w:numFmt w:val="none"/>
      <w:lvlText w:val=""/>
      <w:lvlJc w:val="left"/>
      <w:pPr>
        <w:tabs>
          <w:tab w:val="num" w:pos="2966"/>
        </w:tabs>
        <w:ind w:left="2966" w:hanging="360"/>
      </w:pPr>
      <w:rPr>
        <w:rFonts w:hint="default"/>
      </w:rPr>
    </w:lvl>
    <w:lvl w:ilvl="7">
      <w:start w:val="1"/>
      <w:numFmt w:val="none"/>
      <w:lvlText w:val=""/>
      <w:lvlJc w:val="left"/>
      <w:pPr>
        <w:tabs>
          <w:tab w:val="num" w:pos="3326"/>
        </w:tabs>
        <w:ind w:left="3326" w:hanging="360"/>
      </w:pPr>
      <w:rPr>
        <w:rFonts w:hint="default"/>
      </w:rPr>
    </w:lvl>
    <w:lvl w:ilvl="8">
      <w:start w:val="1"/>
      <w:numFmt w:val="none"/>
      <w:lvlText w:val=""/>
      <w:lvlJc w:val="left"/>
      <w:pPr>
        <w:tabs>
          <w:tab w:val="num" w:pos="3686"/>
        </w:tabs>
        <w:ind w:left="3686" w:hanging="360"/>
      </w:pPr>
      <w:rPr>
        <w:rFonts w:hint="default"/>
      </w:rPr>
    </w:lvl>
  </w:abstractNum>
  <w:abstractNum w:abstractNumId="4">
    <w:nsid w:val="2AB35F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05B6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2E82C08"/>
    <w:multiLevelType w:val="hybridMultilevel"/>
    <w:tmpl w:val="8B9ECE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5"/>
  </w:num>
  <w:num w:numId="4">
    <w:abstractNumId w:val="2"/>
  </w:num>
  <w:num w:numId="5">
    <w:abstractNumId w:val="2"/>
    <w:lvlOverride w:ilvl="0">
      <w:startOverride w:val="1"/>
    </w:lvlOverride>
  </w:num>
  <w:num w:numId="6">
    <w:abstractNumId w:val="3"/>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attachedTemplate r:id="rId1"/>
  <w:stylePaneFormatFilter w:val="3F01"/>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cVars>
    <w:docVar w:name="DebugSQL" w:val="SELECT count (distinct COID_DESC) FROM CORPORATE_IDENTITIES "/>
    <w:docVar w:name="PostDocument" w:val="Fine"/>
    <w:docVar w:name="Summary" w:val="GartnerGroup Reports IT Spending to Rise 67 Percent by 2002"/>
  </w:docVars>
  <w:rsids>
    <w:rsidRoot w:val="00FA0F98"/>
    <w:rsid w:val="00000093"/>
    <w:rsid w:val="00003CF5"/>
    <w:rsid w:val="00005AEA"/>
    <w:rsid w:val="0001227E"/>
    <w:rsid w:val="000129AA"/>
    <w:rsid w:val="00012DA9"/>
    <w:rsid w:val="00014DC9"/>
    <w:rsid w:val="00015A4A"/>
    <w:rsid w:val="00015EFE"/>
    <w:rsid w:val="0001753E"/>
    <w:rsid w:val="000215A0"/>
    <w:rsid w:val="00021633"/>
    <w:rsid w:val="0002273B"/>
    <w:rsid w:val="00027178"/>
    <w:rsid w:val="00030C40"/>
    <w:rsid w:val="00031DC1"/>
    <w:rsid w:val="00034E5A"/>
    <w:rsid w:val="00042BFC"/>
    <w:rsid w:val="00047404"/>
    <w:rsid w:val="000525E6"/>
    <w:rsid w:val="00054E2D"/>
    <w:rsid w:val="00064453"/>
    <w:rsid w:val="00074DE6"/>
    <w:rsid w:val="000751D5"/>
    <w:rsid w:val="00076569"/>
    <w:rsid w:val="000770D0"/>
    <w:rsid w:val="00083046"/>
    <w:rsid w:val="00083B88"/>
    <w:rsid w:val="00087B5E"/>
    <w:rsid w:val="000A1057"/>
    <w:rsid w:val="000A2A94"/>
    <w:rsid w:val="000A6F7B"/>
    <w:rsid w:val="000B114C"/>
    <w:rsid w:val="000B6A89"/>
    <w:rsid w:val="000B7E1B"/>
    <w:rsid w:val="000D16E2"/>
    <w:rsid w:val="000D28AC"/>
    <w:rsid w:val="000D3A12"/>
    <w:rsid w:val="000D4720"/>
    <w:rsid w:val="000E02D3"/>
    <w:rsid w:val="000E121D"/>
    <w:rsid w:val="000E1CB2"/>
    <w:rsid w:val="000E2129"/>
    <w:rsid w:val="000E3C08"/>
    <w:rsid w:val="000F0AA5"/>
    <w:rsid w:val="000F3246"/>
    <w:rsid w:val="000F686C"/>
    <w:rsid w:val="00102296"/>
    <w:rsid w:val="00102C7E"/>
    <w:rsid w:val="00102D44"/>
    <w:rsid w:val="001061FA"/>
    <w:rsid w:val="0010625C"/>
    <w:rsid w:val="00107836"/>
    <w:rsid w:val="00113922"/>
    <w:rsid w:val="0011400B"/>
    <w:rsid w:val="001305C2"/>
    <w:rsid w:val="001354BE"/>
    <w:rsid w:val="00142CB6"/>
    <w:rsid w:val="001458E5"/>
    <w:rsid w:val="001550C2"/>
    <w:rsid w:val="00156BAB"/>
    <w:rsid w:val="001576A9"/>
    <w:rsid w:val="001579FD"/>
    <w:rsid w:val="00161847"/>
    <w:rsid w:val="00163BA6"/>
    <w:rsid w:val="001649C6"/>
    <w:rsid w:val="00165E75"/>
    <w:rsid w:val="00170F76"/>
    <w:rsid w:val="00176C18"/>
    <w:rsid w:val="0018189A"/>
    <w:rsid w:val="001829FD"/>
    <w:rsid w:val="001A0D22"/>
    <w:rsid w:val="001A3F9C"/>
    <w:rsid w:val="001B5C5E"/>
    <w:rsid w:val="001C00DF"/>
    <w:rsid w:val="001C1D9F"/>
    <w:rsid w:val="001C26F3"/>
    <w:rsid w:val="001C51D3"/>
    <w:rsid w:val="001D2EA0"/>
    <w:rsid w:val="001D6C52"/>
    <w:rsid w:val="001D6F9C"/>
    <w:rsid w:val="001D701E"/>
    <w:rsid w:val="001E2DF6"/>
    <w:rsid w:val="001E4642"/>
    <w:rsid w:val="001E6695"/>
    <w:rsid w:val="001F5B44"/>
    <w:rsid w:val="001F6302"/>
    <w:rsid w:val="00204D20"/>
    <w:rsid w:val="002145E6"/>
    <w:rsid w:val="0021674F"/>
    <w:rsid w:val="002172E1"/>
    <w:rsid w:val="00221DD1"/>
    <w:rsid w:val="002244B6"/>
    <w:rsid w:val="00224C83"/>
    <w:rsid w:val="002303E0"/>
    <w:rsid w:val="00231538"/>
    <w:rsid w:val="00234001"/>
    <w:rsid w:val="0023466E"/>
    <w:rsid w:val="00236D9A"/>
    <w:rsid w:val="00241C08"/>
    <w:rsid w:val="002429C3"/>
    <w:rsid w:val="00243460"/>
    <w:rsid w:val="00244F79"/>
    <w:rsid w:val="002620A1"/>
    <w:rsid w:val="00262B12"/>
    <w:rsid w:val="00262FC1"/>
    <w:rsid w:val="002632E6"/>
    <w:rsid w:val="00264B72"/>
    <w:rsid w:val="002743BB"/>
    <w:rsid w:val="00275A9F"/>
    <w:rsid w:val="00281932"/>
    <w:rsid w:val="00281E83"/>
    <w:rsid w:val="00282234"/>
    <w:rsid w:val="00283325"/>
    <w:rsid w:val="00283DC1"/>
    <w:rsid w:val="0028419E"/>
    <w:rsid w:val="00290804"/>
    <w:rsid w:val="0029156C"/>
    <w:rsid w:val="00295B3E"/>
    <w:rsid w:val="00296007"/>
    <w:rsid w:val="002B4228"/>
    <w:rsid w:val="002B7AA8"/>
    <w:rsid w:val="002C1F2B"/>
    <w:rsid w:val="002C47CE"/>
    <w:rsid w:val="002C5AC0"/>
    <w:rsid w:val="002D3BEE"/>
    <w:rsid w:val="002E0AA9"/>
    <w:rsid w:val="002E1A97"/>
    <w:rsid w:val="002E4CC8"/>
    <w:rsid w:val="003004EA"/>
    <w:rsid w:val="00310D22"/>
    <w:rsid w:val="00315ED8"/>
    <w:rsid w:val="00315F08"/>
    <w:rsid w:val="00317C88"/>
    <w:rsid w:val="0032589F"/>
    <w:rsid w:val="00326D41"/>
    <w:rsid w:val="00330630"/>
    <w:rsid w:val="00331575"/>
    <w:rsid w:val="00345DEC"/>
    <w:rsid w:val="00350D6C"/>
    <w:rsid w:val="00351261"/>
    <w:rsid w:val="00357EBE"/>
    <w:rsid w:val="00360C92"/>
    <w:rsid w:val="003652E9"/>
    <w:rsid w:val="00370821"/>
    <w:rsid w:val="003728BA"/>
    <w:rsid w:val="003833CA"/>
    <w:rsid w:val="0039218E"/>
    <w:rsid w:val="003922AC"/>
    <w:rsid w:val="00392B18"/>
    <w:rsid w:val="0039366D"/>
    <w:rsid w:val="00394175"/>
    <w:rsid w:val="00394B1C"/>
    <w:rsid w:val="00396060"/>
    <w:rsid w:val="003A1A53"/>
    <w:rsid w:val="003A3B0E"/>
    <w:rsid w:val="003A6D9B"/>
    <w:rsid w:val="003B096C"/>
    <w:rsid w:val="003B209D"/>
    <w:rsid w:val="003B3E52"/>
    <w:rsid w:val="003B5626"/>
    <w:rsid w:val="003C23E0"/>
    <w:rsid w:val="003C2895"/>
    <w:rsid w:val="003C4814"/>
    <w:rsid w:val="003C4ACF"/>
    <w:rsid w:val="003C7766"/>
    <w:rsid w:val="003D14C0"/>
    <w:rsid w:val="003E1FE3"/>
    <w:rsid w:val="003F6B06"/>
    <w:rsid w:val="003F703C"/>
    <w:rsid w:val="00402BBD"/>
    <w:rsid w:val="00414218"/>
    <w:rsid w:val="00414A6E"/>
    <w:rsid w:val="004159F8"/>
    <w:rsid w:val="00422582"/>
    <w:rsid w:val="004300B1"/>
    <w:rsid w:val="00431C0C"/>
    <w:rsid w:val="004353B8"/>
    <w:rsid w:val="00435962"/>
    <w:rsid w:val="00445B0B"/>
    <w:rsid w:val="00445E75"/>
    <w:rsid w:val="00453144"/>
    <w:rsid w:val="00462C1B"/>
    <w:rsid w:val="00472A3D"/>
    <w:rsid w:val="004842AD"/>
    <w:rsid w:val="00485E74"/>
    <w:rsid w:val="004905FB"/>
    <w:rsid w:val="004934BD"/>
    <w:rsid w:val="00494515"/>
    <w:rsid w:val="004953F0"/>
    <w:rsid w:val="004A6B89"/>
    <w:rsid w:val="004B11A7"/>
    <w:rsid w:val="004B4730"/>
    <w:rsid w:val="004B4E70"/>
    <w:rsid w:val="004B73BD"/>
    <w:rsid w:val="004C2257"/>
    <w:rsid w:val="004D2456"/>
    <w:rsid w:val="004D65FE"/>
    <w:rsid w:val="004D7A55"/>
    <w:rsid w:val="004E0042"/>
    <w:rsid w:val="004E16D7"/>
    <w:rsid w:val="004E5021"/>
    <w:rsid w:val="004F3D32"/>
    <w:rsid w:val="00500F86"/>
    <w:rsid w:val="005010EE"/>
    <w:rsid w:val="00507FA3"/>
    <w:rsid w:val="00510F99"/>
    <w:rsid w:val="0051359F"/>
    <w:rsid w:val="005150E7"/>
    <w:rsid w:val="00515904"/>
    <w:rsid w:val="0052653D"/>
    <w:rsid w:val="0053735A"/>
    <w:rsid w:val="005434B9"/>
    <w:rsid w:val="00543C0B"/>
    <w:rsid w:val="00547BCD"/>
    <w:rsid w:val="0055767C"/>
    <w:rsid w:val="005622E3"/>
    <w:rsid w:val="0056513A"/>
    <w:rsid w:val="005737A9"/>
    <w:rsid w:val="00575A54"/>
    <w:rsid w:val="00580D50"/>
    <w:rsid w:val="00583CEF"/>
    <w:rsid w:val="00584892"/>
    <w:rsid w:val="005879D4"/>
    <w:rsid w:val="0059326E"/>
    <w:rsid w:val="0059350D"/>
    <w:rsid w:val="005A4540"/>
    <w:rsid w:val="005A5D7A"/>
    <w:rsid w:val="005B18EE"/>
    <w:rsid w:val="005B2416"/>
    <w:rsid w:val="005B4879"/>
    <w:rsid w:val="005B6FB4"/>
    <w:rsid w:val="005C0B78"/>
    <w:rsid w:val="005C1B0D"/>
    <w:rsid w:val="005C21C7"/>
    <w:rsid w:val="005C2CE9"/>
    <w:rsid w:val="005C48CE"/>
    <w:rsid w:val="005C6C0F"/>
    <w:rsid w:val="005C7320"/>
    <w:rsid w:val="005D2237"/>
    <w:rsid w:val="005D38B8"/>
    <w:rsid w:val="005D3D4F"/>
    <w:rsid w:val="005D6BF5"/>
    <w:rsid w:val="005E2EAF"/>
    <w:rsid w:val="005E3461"/>
    <w:rsid w:val="005E43F8"/>
    <w:rsid w:val="005E5B1E"/>
    <w:rsid w:val="005E6B0D"/>
    <w:rsid w:val="005F24B1"/>
    <w:rsid w:val="005F3D0D"/>
    <w:rsid w:val="005F4A28"/>
    <w:rsid w:val="005F7CA3"/>
    <w:rsid w:val="006016E5"/>
    <w:rsid w:val="006107C7"/>
    <w:rsid w:val="00622F59"/>
    <w:rsid w:val="006320C7"/>
    <w:rsid w:val="0063486C"/>
    <w:rsid w:val="006349C7"/>
    <w:rsid w:val="00651024"/>
    <w:rsid w:val="00652532"/>
    <w:rsid w:val="0065550F"/>
    <w:rsid w:val="006556BA"/>
    <w:rsid w:val="006673BD"/>
    <w:rsid w:val="00670C2C"/>
    <w:rsid w:val="00672429"/>
    <w:rsid w:val="00675E16"/>
    <w:rsid w:val="006806FF"/>
    <w:rsid w:val="00683C6B"/>
    <w:rsid w:val="00691AD3"/>
    <w:rsid w:val="00694524"/>
    <w:rsid w:val="006A439D"/>
    <w:rsid w:val="006A5BF8"/>
    <w:rsid w:val="006A61FE"/>
    <w:rsid w:val="006A77A1"/>
    <w:rsid w:val="006B0DC3"/>
    <w:rsid w:val="006B359B"/>
    <w:rsid w:val="006B4CAE"/>
    <w:rsid w:val="006B7EA3"/>
    <w:rsid w:val="006C19DB"/>
    <w:rsid w:val="006C3B1B"/>
    <w:rsid w:val="006D03E7"/>
    <w:rsid w:val="006D0C36"/>
    <w:rsid w:val="006D199F"/>
    <w:rsid w:val="006D64E7"/>
    <w:rsid w:val="006E16E1"/>
    <w:rsid w:val="006E6E0A"/>
    <w:rsid w:val="006E6E1C"/>
    <w:rsid w:val="006F01B2"/>
    <w:rsid w:val="006F0794"/>
    <w:rsid w:val="006F4267"/>
    <w:rsid w:val="006F56B0"/>
    <w:rsid w:val="007012A8"/>
    <w:rsid w:val="00701DEC"/>
    <w:rsid w:val="00705B95"/>
    <w:rsid w:val="00706FFF"/>
    <w:rsid w:val="00716857"/>
    <w:rsid w:val="0071711C"/>
    <w:rsid w:val="00721358"/>
    <w:rsid w:val="00723B4A"/>
    <w:rsid w:val="00723EA1"/>
    <w:rsid w:val="00725D0F"/>
    <w:rsid w:val="00734AF8"/>
    <w:rsid w:val="00734BDB"/>
    <w:rsid w:val="0073531F"/>
    <w:rsid w:val="007362E4"/>
    <w:rsid w:val="007517D8"/>
    <w:rsid w:val="007544AE"/>
    <w:rsid w:val="007555FF"/>
    <w:rsid w:val="00756009"/>
    <w:rsid w:val="00760BFC"/>
    <w:rsid w:val="00763A2F"/>
    <w:rsid w:val="007677FF"/>
    <w:rsid w:val="0077054E"/>
    <w:rsid w:val="00772CB3"/>
    <w:rsid w:val="00780A50"/>
    <w:rsid w:val="00780D4E"/>
    <w:rsid w:val="0078280B"/>
    <w:rsid w:val="00785DFE"/>
    <w:rsid w:val="007A491D"/>
    <w:rsid w:val="007A714B"/>
    <w:rsid w:val="007B3F00"/>
    <w:rsid w:val="007B5BEB"/>
    <w:rsid w:val="007C028B"/>
    <w:rsid w:val="007C3060"/>
    <w:rsid w:val="007C31B7"/>
    <w:rsid w:val="007D5CCD"/>
    <w:rsid w:val="007D7EAD"/>
    <w:rsid w:val="007E217B"/>
    <w:rsid w:val="007E364C"/>
    <w:rsid w:val="007E7BED"/>
    <w:rsid w:val="007F6425"/>
    <w:rsid w:val="008069B4"/>
    <w:rsid w:val="008071DA"/>
    <w:rsid w:val="00807934"/>
    <w:rsid w:val="00807B03"/>
    <w:rsid w:val="00812FDA"/>
    <w:rsid w:val="00813712"/>
    <w:rsid w:val="00813B7E"/>
    <w:rsid w:val="00814D79"/>
    <w:rsid w:val="00815AA6"/>
    <w:rsid w:val="008179FB"/>
    <w:rsid w:val="00817DE1"/>
    <w:rsid w:val="00823446"/>
    <w:rsid w:val="00826577"/>
    <w:rsid w:val="00826844"/>
    <w:rsid w:val="00831AAA"/>
    <w:rsid w:val="00832424"/>
    <w:rsid w:val="00832957"/>
    <w:rsid w:val="00835794"/>
    <w:rsid w:val="0083633D"/>
    <w:rsid w:val="00845DE8"/>
    <w:rsid w:val="00847569"/>
    <w:rsid w:val="00847896"/>
    <w:rsid w:val="008516C1"/>
    <w:rsid w:val="008548D2"/>
    <w:rsid w:val="00855181"/>
    <w:rsid w:val="00864CA5"/>
    <w:rsid w:val="0087575E"/>
    <w:rsid w:val="00875F75"/>
    <w:rsid w:val="00876A66"/>
    <w:rsid w:val="008801B1"/>
    <w:rsid w:val="00883B05"/>
    <w:rsid w:val="00884376"/>
    <w:rsid w:val="00892881"/>
    <w:rsid w:val="008945EC"/>
    <w:rsid w:val="008A1922"/>
    <w:rsid w:val="008A1CA1"/>
    <w:rsid w:val="008B15A0"/>
    <w:rsid w:val="008B27B6"/>
    <w:rsid w:val="008B50C3"/>
    <w:rsid w:val="008B5CAC"/>
    <w:rsid w:val="008B79E7"/>
    <w:rsid w:val="008C5A9C"/>
    <w:rsid w:val="008C71FA"/>
    <w:rsid w:val="008C7733"/>
    <w:rsid w:val="008D1207"/>
    <w:rsid w:val="008D3F90"/>
    <w:rsid w:val="008D5319"/>
    <w:rsid w:val="008E0003"/>
    <w:rsid w:val="008F45D1"/>
    <w:rsid w:val="008F5B75"/>
    <w:rsid w:val="0090037D"/>
    <w:rsid w:val="00900E8A"/>
    <w:rsid w:val="009074CD"/>
    <w:rsid w:val="00910019"/>
    <w:rsid w:val="00912EC0"/>
    <w:rsid w:val="00924102"/>
    <w:rsid w:val="00925617"/>
    <w:rsid w:val="0093013A"/>
    <w:rsid w:val="00933D42"/>
    <w:rsid w:val="009368A1"/>
    <w:rsid w:val="00943533"/>
    <w:rsid w:val="0094509F"/>
    <w:rsid w:val="0094528B"/>
    <w:rsid w:val="009602E1"/>
    <w:rsid w:val="00962705"/>
    <w:rsid w:val="00983C3D"/>
    <w:rsid w:val="00983EEA"/>
    <w:rsid w:val="009844CB"/>
    <w:rsid w:val="009856F0"/>
    <w:rsid w:val="0099223E"/>
    <w:rsid w:val="00993573"/>
    <w:rsid w:val="00997739"/>
    <w:rsid w:val="009A159F"/>
    <w:rsid w:val="009A1EDB"/>
    <w:rsid w:val="009B0AD4"/>
    <w:rsid w:val="009B66AD"/>
    <w:rsid w:val="009C0946"/>
    <w:rsid w:val="009C7CEE"/>
    <w:rsid w:val="009D055D"/>
    <w:rsid w:val="009D092C"/>
    <w:rsid w:val="009D2304"/>
    <w:rsid w:val="009D314E"/>
    <w:rsid w:val="009D437E"/>
    <w:rsid w:val="009D6113"/>
    <w:rsid w:val="009E1DC9"/>
    <w:rsid w:val="009E227C"/>
    <w:rsid w:val="009E3140"/>
    <w:rsid w:val="009E56C7"/>
    <w:rsid w:val="009F20A4"/>
    <w:rsid w:val="009F261E"/>
    <w:rsid w:val="009F696C"/>
    <w:rsid w:val="009F7F36"/>
    <w:rsid w:val="00A0173F"/>
    <w:rsid w:val="00A10B18"/>
    <w:rsid w:val="00A116EE"/>
    <w:rsid w:val="00A1390F"/>
    <w:rsid w:val="00A14256"/>
    <w:rsid w:val="00A2107F"/>
    <w:rsid w:val="00A26D4F"/>
    <w:rsid w:val="00A2790C"/>
    <w:rsid w:val="00A34A7E"/>
    <w:rsid w:val="00A370DD"/>
    <w:rsid w:val="00A52254"/>
    <w:rsid w:val="00A56DE5"/>
    <w:rsid w:val="00A57459"/>
    <w:rsid w:val="00A575A6"/>
    <w:rsid w:val="00A67541"/>
    <w:rsid w:val="00A703A7"/>
    <w:rsid w:val="00A7212F"/>
    <w:rsid w:val="00A743C7"/>
    <w:rsid w:val="00A9448F"/>
    <w:rsid w:val="00A9619D"/>
    <w:rsid w:val="00A96CC1"/>
    <w:rsid w:val="00AA0135"/>
    <w:rsid w:val="00AA3E89"/>
    <w:rsid w:val="00AA79D2"/>
    <w:rsid w:val="00AB306F"/>
    <w:rsid w:val="00AB7CF0"/>
    <w:rsid w:val="00AC48AD"/>
    <w:rsid w:val="00AD07F5"/>
    <w:rsid w:val="00AD2B3F"/>
    <w:rsid w:val="00AD78EB"/>
    <w:rsid w:val="00AE0582"/>
    <w:rsid w:val="00AE7438"/>
    <w:rsid w:val="00AF5F8B"/>
    <w:rsid w:val="00B00519"/>
    <w:rsid w:val="00B00AB9"/>
    <w:rsid w:val="00B05080"/>
    <w:rsid w:val="00B05735"/>
    <w:rsid w:val="00B13894"/>
    <w:rsid w:val="00B21221"/>
    <w:rsid w:val="00B22A7B"/>
    <w:rsid w:val="00B2498F"/>
    <w:rsid w:val="00B26E86"/>
    <w:rsid w:val="00B3211B"/>
    <w:rsid w:val="00B32F39"/>
    <w:rsid w:val="00B35DAD"/>
    <w:rsid w:val="00B41251"/>
    <w:rsid w:val="00B501AB"/>
    <w:rsid w:val="00B51A48"/>
    <w:rsid w:val="00B55C11"/>
    <w:rsid w:val="00B57232"/>
    <w:rsid w:val="00B57A83"/>
    <w:rsid w:val="00B60880"/>
    <w:rsid w:val="00B615BA"/>
    <w:rsid w:val="00B63079"/>
    <w:rsid w:val="00B63F7E"/>
    <w:rsid w:val="00B70949"/>
    <w:rsid w:val="00B73CFD"/>
    <w:rsid w:val="00B75E84"/>
    <w:rsid w:val="00B76FC8"/>
    <w:rsid w:val="00B801A4"/>
    <w:rsid w:val="00B82980"/>
    <w:rsid w:val="00B833C9"/>
    <w:rsid w:val="00B87394"/>
    <w:rsid w:val="00B90079"/>
    <w:rsid w:val="00B94623"/>
    <w:rsid w:val="00BA03F3"/>
    <w:rsid w:val="00BA22DC"/>
    <w:rsid w:val="00BA33E5"/>
    <w:rsid w:val="00BA48F8"/>
    <w:rsid w:val="00BA6BF6"/>
    <w:rsid w:val="00BB136D"/>
    <w:rsid w:val="00BB1FCC"/>
    <w:rsid w:val="00BB2C02"/>
    <w:rsid w:val="00BB44E6"/>
    <w:rsid w:val="00BB4968"/>
    <w:rsid w:val="00BB7C7E"/>
    <w:rsid w:val="00BC543D"/>
    <w:rsid w:val="00BC7CCE"/>
    <w:rsid w:val="00BD4167"/>
    <w:rsid w:val="00BD7384"/>
    <w:rsid w:val="00BE19B1"/>
    <w:rsid w:val="00BE53DE"/>
    <w:rsid w:val="00BE62BB"/>
    <w:rsid w:val="00BE7214"/>
    <w:rsid w:val="00BE7634"/>
    <w:rsid w:val="00BF12B0"/>
    <w:rsid w:val="00BF6156"/>
    <w:rsid w:val="00BF6E11"/>
    <w:rsid w:val="00BF7730"/>
    <w:rsid w:val="00C01886"/>
    <w:rsid w:val="00C0267E"/>
    <w:rsid w:val="00C03488"/>
    <w:rsid w:val="00C060DF"/>
    <w:rsid w:val="00C16CD3"/>
    <w:rsid w:val="00C23BF0"/>
    <w:rsid w:val="00C300F5"/>
    <w:rsid w:val="00C3019E"/>
    <w:rsid w:val="00C3150B"/>
    <w:rsid w:val="00C3202E"/>
    <w:rsid w:val="00C330E5"/>
    <w:rsid w:val="00C331C0"/>
    <w:rsid w:val="00C426A0"/>
    <w:rsid w:val="00C47D7D"/>
    <w:rsid w:val="00C60210"/>
    <w:rsid w:val="00C60FD2"/>
    <w:rsid w:val="00C654E2"/>
    <w:rsid w:val="00C65AAB"/>
    <w:rsid w:val="00C663BB"/>
    <w:rsid w:val="00C67B8D"/>
    <w:rsid w:val="00C741BB"/>
    <w:rsid w:val="00C744C2"/>
    <w:rsid w:val="00C77BD9"/>
    <w:rsid w:val="00C94A2D"/>
    <w:rsid w:val="00C97D8B"/>
    <w:rsid w:val="00CA493C"/>
    <w:rsid w:val="00CA7DE1"/>
    <w:rsid w:val="00CB13C8"/>
    <w:rsid w:val="00CB2104"/>
    <w:rsid w:val="00CB22C5"/>
    <w:rsid w:val="00CB4279"/>
    <w:rsid w:val="00CC057A"/>
    <w:rsid w:val="00CC2615"/>
    <w:rsid w:val="00CC6A86"/>
    <w:rsid w:val="00CC7076"/>
    <w:rsid w:val="00CD0157"/>
    <w:rsid w:val="00CD1523"/>
    <w:rsid w:val="00CD1E5F"/>
    <w:rsid w:val="00CD490F"/>
    <w:rsid w:val="00CD723A"/>
    <w:rsid w:val="00CE0978"/>
    <w:rsid w:val="00CE0E5E"/>
    <w:rsid w:val="00CE2EA5"/>
    <w:rsid w:val="00CF45BF"/>
    <w:rsid w:val="00CF7B7E"/>
    <w:rsid w:val="00D000D7"/>
    <w:rsid w:val="00D0067C"/>
    <w:rsid w:val="00D0098E"/>
    <w:rsid w:val="00D06B5D"/>
    <w:rsid w:val="00D07B61"/>
    <w:rsid w:val="00D14645"/>
    <w:rsid w:val="00D2237C"/>
    <w:rsid w:val="00D23F24"/>
    <w:rsid w:val="00D24BD0"/>
    <w:rsid w:val="00D25C91"/>
    <w:rsid w:val="00D25CCE"/>
    <w:rsid w:val="00D347DF"/>
    <w:rsid w:val="00D42316"/>
    <w:rsid w:val="00D462DD"/>
    <w:rsid w:val="00D507F3"/>
    <w:rsid w:val="00D50D17"/>
    <w:rsid w:val="00D543AA"/>
    <w:rsid w:val="00D54A24"/>
    <w:rsid w:val="00D645A8"/>
    <w:rsid w:val="00D6518D"/>
    <w:rsid w:val="00D65510"/>
    <w:rsid w:val="00D70A78"/>
    <w:rsid w:val="00D72A3A"/>
    <w:rsid w:val="00D85789"/>
    <w:rsid w:val="00D91B9B"/>
    <w:rsid w:val="00D91D3B"/>
    <w:rsid w:val="00D964F8"/>
    <w:rsid w:val="00DA26F1"/>
    <w:rsid w:val="00DB3F98"/>
    <w:rsid w:val="00DB4B92"/>
    <w:rsid w:val="00DB5AC0"/>
    <w:rsid w:val="00DC1442"/>
    <w:rsid w:val="00DC214E"/>
    <w:rsid w:val="00DC4761"/>
    <w:rsid w:val="00DD062B"/>
    <w:rsid w:val="00DD0F2F"/>
    <w:rsid w:val="00DD2EEA"/>
    <w:rsid w:val="00DD417E"/>
    <w:rsid w:val="00DD5289"/>
    <w:rsid w:val="00DD6284"/>
    <w:rsid w:val="00DE1816"/>
    <w:rsid w:val="00E050A9"/>
    <w:rsid w:val="00E11E98"/>
    <w:rsid w:val="00E151AD"/>
    <w:rsid w:val="00E16815"/>
    <w:rsid w:val="00E23C5B"/>
    <w:rsid w:val="00E329E2"/>
    <w:rsid w:val="00E33007"/>
    <w:rsid w:val="00E3467D"/>
    <w:rsid w:val="00E4265C"/>
    <w:rsid w:val="00E4399E"/>
    <w:rsid w:val="00E4482A"/>
    <w:rsid w:val="00E46BA4"/>
    <w:rsid w:val="00E54635"/>
    <w:rsid w:val="00E66354"/>
    <w:rsid w:val="00E66A9B"/>
    <w:rsid w:val="00E679C5"/>
    <w:rsid w:val="00E67B24"/>
    <w:rsid w:val="00E7328F"/>
    <w:rsid w:val="00E75384"/>
    <w:rsid w:val="00E80C7A"/>
    <w:rsid w:val="00E81A81"/>
    <w:rsid w:val="00E81D5F"/>
    <w:rsid w:val="00E8448F"/>
    <w:rsid w:val="00E851F7"/>
    <w:rsid w:val="00EA07D0"/>
    <w:rsid w:val="00EA0B42"/>
    <w:rsid w:val="00EA4CE9"/>
    <w:rsid w:val="00EA5857"/>
    <w:rsid w:val="00EB4543"/>
    <w:rsid w:val="00EC495A"/>
    <w:rsid w:val="00ED3CBC"/>
    <w:rsid w:val="00ED5C9E"/>
    <w:rsid w:val="00ED6782"/>
    <w:rsid w:val="00ED78ED"/>
    <w:rsid w:val="00ED7C37"/>
    <w:rsid w:val="00EE4A46"/>
    <w:rsid w:val="00EE5807"/>
    <w:rsid w:val="00EE7A40"/>
    <w:rsid w:val="00EF3601"/>
    <w:rsid w:val="00EF4A56"/>
    <w:rsid w:val="00EF676C"/>
    <w:rsid w:val="00F0387D"/>
    <w:rsid w:val="00F06467"/>
    <w:rsid w:val="00F11DB5"/>
    <w:rsid w:val="00F14F80"/>
    <w:rsid w:val="00F33925"/>
    <w:rsid w:val="00F35DF7"/>
    <w:rsid w:val="00F379D0"/>
    <w:rsid w:val="00F40B98"/>
    <w:rsid w:val="00F4196F"/>
    <w:rsid w:val="00F53208"/>
    <w:rsid w:val="00F534CB"/>
    <w:rsid w:val="00F54EAA"/>
    <w:rsid w:val="00F56703"/>
    <w:rsid w:val="00F6207B"/>
    <w:rsid w:val="00F62482"/>
    <w:rsid w:val="00F6411E"/>
    <w:rsid w:val="00F654BB"/>
    <w:rsid w:val="00F71586"/>
    <w:rsid w:val="00F765FB"/>
    <w:rsid w:val="00F76E6A"/>
    <w:rsid w:val="00F80A30"/>
    <w:rsid w:val="00F81FDE"/>
    <w:rsid w:val="00F85DF5"/>
    <w:rsid w:val="00F930B3"/>
    <w:rsid w:val="00FA0F98"/>
    <w:rsid w:val="00FA0FA3"/>
    <w:rsid w:val="00FA49C6"/>
    <w:rsid w:val="00FA4E96"/>
    <w:rsid w:val="00FA713E"/>
    <w:rsid w:val="00FB177C"/>
    <w:rsid w:val="00FB2C3B"/>
    <w:rsid w:val="00FB5F27"/>
    <w:rsid w:val="00FB613A"/>
    <w:rsid w:val="00FC4E1F"/>
    <w:rsid w:val="00FC5657"/>
    <w:rsid w:val="00FD04BC"/>
    <w:rsid w:val="00FD46BF"/>
    <w:rsid w:val="00FD5EA6"/>
    <w:rsid w:val="00FE3B74"/>
    <w:rsid w:val="00FE66AE"/>
    <w:rsid w:val="00FE6876"/>
    <w:rsid w:val="00FF1106"/>
    <w:rsid w:val="00FF5F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48F"/>
    <w:pPr>
      <w:jc w:val="both"/>
    </w:pPr>
    <w:rPr>
      <w:rFonts w:ascii="Arial" w:hAnsi="Arial"/>
      <w:lang w:eastAsia="en-US"/>
    </w:rPr>
  </w:style>
  <w:style w:type="paragraph" w:styleId="Heading1">
    <w:name w:val="heading 1"/>
    <w:basedOn w:val="Normal"/>
    <w:next w:val="Normal"/>
    <w:qFormat/>
    <w:rsid w:val="006F01B2"/>
    <w:pPr>
      <w:keepNext/>
      <w:spacing w:before="240" w:after="60"/>
      <w:outlineLvl w:val="0"/>
    </w:pPr>
    <w:rPr>
      <w:b/>
      <w:kern w:val="28"/>
      <w:sz w:val="28"/>
    </w:rPr>
  </w:style>
  <w:style w:type="paragraph" w:styleId="Heading2">
    <w:name w:val="heading 2"/>
    <w:basedOn w:val="Normal"/>
    <w:next w:val="Normal"/>
    <w:qFormat/>
    <w:rsid w:val="006F01B2"/>
    <w:pPr>
      <w:keepNext/>
      <w:spacing w:before="360" w:after="60" w:line="280" w:lineRule="atLeast"/>
      <w:outlineLvl w:val="1"/>
    </w:pPr>
    <w:rPr>
      <w:b/>
      <w:sz w:val="24"/>
    </w:rPr>
  </w:style>
  <w:style w:type="paragraph" w:styleId="Heading3">
    <w:name w:val="heading 3"/>
    <w:basedOn w:val="Normal"/>
    <w:next w:val="Normal"/>
    <w:qFormat/>
    <w:rsid w:val="006F01B2"/>
    <w:pPr>
      <w:keepNext/>
      <w:spacing w:before="240" w:after="60"/>
      <w:outlineLvl w:val="2"/>
    </w:pPr>
    <w:rPr>
      <w:sz w:val="24"/>
    </w:rPr>
  </w:style>
  <w:style w:type="paragraph" w:styleId="Heading4">
    <w:name w:val="heading 4"/>
    <w:basedOn w:val="Normal"/>
    <w:next w:val="Normal"/>
    <w:qFormat/>
    <w:rsid w:val="006F01B2"/>
    <w:pPr>
      <w:keepNext/>
      <w:jc w:val="center"/>
      <w:outlineLvl w:val="3"/>
    </w:pPr>
    <w:rPr>
      <w:b/>
      <w:sz w:val="24"/>
    </w:rPr>
  </w:style>
  <w:style w:type="paragraph" w:styleId="Heading5">
    <w:name w:val="heading 5"/>
    <w:basedOn w:val="Normal"/>
    <w:next w:val="Normal"/>
    <w:qFormat/>
    <w:rsid w:val="006F01B2"/>
    <w:pPr>
      <w:keepNext/>
      <w:jc w:val="center"/>
      <w:outlineLvl w:val="4"/>
    </w:pPr>
    <w:rPr>
      <w:i/>
      <w:sz w:val="24"/>
    </w:rPr>
  </w:style>
  <w:style w:type="paragraph" w:styleId="Heading6">
    <w:name w:val="heading 6"/>
    <w:basedOn w:val="Normal"/>
    <w:next w:val="Normal"/>
    <w:qFormat/>
    <w:rsid w:val="006F01B2"/>
    <w:pPr>
      <w:keepNext/>
      <w:jc w:val="left"/>
      <w:outlineLvl w:val="5"/>
    </w:pPr>
    <w:rPr>
      <w:b/>
      <w:snapToGrid w:val="0"/>
      <w:color w:val="0000FF"/>
      <w:sz w:val="22"/>
    </w:rPr>
  </w:style>
  <w:style w:type="paragraph" w:styleId="Heading7">
    <w:name w:val="heading 7"/>
    <w:basedOn w:val="Normal"/>
    <w:next w:val="Normal"/>
    <w:qFormat/>
    <w:rsid w:val="006F01B2"/>
    <w:pPr>
      <w:keepNext/>
      <w:spacing w:after="120"/>
      <w:jc w:val="center"/>
      <w:outlineLvl w:val="6"/>
    </w:pPr>
    <w:rPr>
      <w:b/>
      <w: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01B2"/>
    <w:pPr>
      <w:tabs>
        <w:tab w:val="center" w:pos="4320"/>
        <w:tab w:val="right" w:pos="8640"/>
      </w:tabs>
    </w:pPr>
  </w:style>
  <w:style w:type="paragraph" w:styleId="Footer">
    <w:name w:val="footer"/>
    <w:basedOn w:val="Normal"/>
    <w:rsid w:val="006F01B2"/>
    <w:pPr>
      <w:tabs>
        <w:tab w:val="center" w:pos="4320"/>
        <w:tab w:val="right" w:pos="8640"/>
      </w:tabs>
    </w:pPr>
  </w:style>
  <w:style w:type="paragraph" w:customStyle="1" w:styleId="Text">
    <w:name w:val="_Text"/>
    <w:basedOn w:val="Normal"/>
    <w:rsid w:val="006F01B2"/>
  </w:style>
  <w:style w:type="character" w:styleId="PageNumber">
    <w:name w:val="page number"/>
    <w:basedOn w:val="DefaultParagraphFont"/>
    <w:rsid w:val="006F01B2"/>
  </w:style>
  <w:style w:type="paragraph" w:customStyle="1" w:styleId="xFtrLogo">
    <w:name w:val="x_FtrLogo"/>
    <w:basedOn w:val="Normal"/>
    <w:rsid w:val="006F01B2"/>
    <w:pPr>
      <w:spacing w:before="60"/>
    </w:pPr>
  </w:style>
  <w:style w:type="paragraph" w:customStyle="1" w:styleId="xHdrLogo">
    <w:name w:val="x_HdrLogo"/>
    <w:basedOn w:val="Normal"/>
    <w:rsid w:val="006F01B2"/>
    <w:pPr>
      <w:spacing w:before="120"/>
    </w:pPr>
  </w:style>
  <w:style w:type="paragraph" w:customStyle="1" w:styleId="xHdrServiceName">
    <w:name w:val="x_HdrServiceName"/>
    <w:basedOn w:val="Normal"/>
    <w:rsid w:val="006F01B2"/>
    <w:pPr>
      <w:spacing w:before="120"/>
      <w:ind w:left="216"/>
      <w:jc w:val="right"/>
    </w:pPr>
    <w:rPr>
      <w:b/>
      <w:sz w:val="28"/>
    </w:rPr>
  </w:style>
  <w:style w:type="paragraph" w:customStyle="1" w:styleId="date">
    <w:name w:val="date"/>
    <w:basedOn w:val="Heading3"/>
    <w:rsid w:val="006F01B2"/>
    <w:pPr>
      <w:keepNext w:val="0"/>
      <w:spacing w:before="40" w:after="20"/>
      <w:ind w:right="57"/>
      <w:jc w:val="right"/>
      <w:outlineLvl w:val="9"/>
    </w:pPr>
    <w:rPr>
      <w:b/>
      <w:i/>
      <w:sz w:val="18"/>
    </w:rPr>
  </w:style>
  <w:style w:type="paragraph" w:customStyle="1" w:styleId="Subtitle">
    <w:name w:val="_Subtitle"/>
    <w:basedOn w:val="Normal"/>
    <w:next w:val="Normal"/>
    <w:rsid w:val="006F01B2"/>
    <w:pPr>
      <w:jc w:val="center"/>
    </w:pPr>
    <w:rPr>
      <w:b/>
      <w:sz w:val="22"/>
    </w:rPr>
  </w:style>
  <w:style w:type="paragraph" w:customStyle="1" w:styleId="HeadingJustified">
    <w:name w:val="_HeadingJustified"/>
    <w:basedOn w:val="Normal"/>
    <w:next w:val="Normal"/>
    <w:rsid w:val="006F01B2"/>
    <w:rPr>
      <w:b/>
    </w:rPr>
  </w:style>
  <w:style w:type="paragraph" w:styleId="BodyText2">
    <w:name w:val="Body Text 2"/>
    <w:basedOn w:val="Normal"/>
    <w:rsid w:val="006F01B2"/>
    <w:pPr>
      <w:widowControl w:val="0"/>
      <w:ind w:right="842"/>
    </w:pPr>
    <w:rPr>
      <w:rFonts w:ascii="Bookman Old Style" w:hAnsi="Bookman Old Style"/>
    </w:rPr>
  </w:style>
  <w:style w:type="paragraph" w:customStyle="1" w:styleId="TextJustified">
    <w:name w:val="_TextJustified"/>
    <w:basedOn w:val="Normal"/>
    <w:rsid w:val="006F01B2"/>
    <w:pPr>
      <w:ind w:right="1080"/>
    </w:pPr>
  </w:style>
  <w:style w:type="paragraph" w:customStyle="1" w:styleId="Title">
    <w:name w:val="_Title"/>
    <w:basedOn w:val="Heading1"/>
    <w:rsid w:val="006F01B2"/>
    <w:pPr>
      <w:spacing w:before="60" w:after="360"/>
      <w:jc w:val="center"/>
      <w:outlineLvl w:val="9"/>
    </w:pPr>
  </w:style>
  <w:style w:type="paragraph" w:styleId="BodyText">
    <w:name w:val="Body Text"/>
    <w:basedOn w:val="Normal"/>
    <w:rsid w:val="006F01B2"/>
    <w:pPr>
      <w:widowControl w:val="0"/>
      <w:spacing w:after="120" w:line="360" w:lineRule="auto"/>
      <w:jc w:val="left"/>
    </w:pPr>
    <w:rPr>
      <w:snapToGrid w:val="0"/>
      <w:sz w:val="22"/>
    </w:rPr>
  </w:style>
  <w:style w:type="character" w:styleId="Hyperlink">
    <w:name w:val="Hyperlink"/>
    <w:basedOn w:val="DefaultParagraphFont"/>
    <w:rsid w:val="006F01B2"/>
    <w:rPr>
      <w:color w:val="0000FF"/>
      <w:u w:val="single"/>
    </w:rPr>
  </w:style>
  <w:style w:type="paragraph" w:styleId="Title0">
    <w:name w:val="Title"/>
    <w:basedOn w:val="Normal"/>
    <w:qFormat/>
    <w:rsid w:val="006F01B2"/>
    <w:pPr>
      <w:jc w:val="center"/>
    </w:pPr>
    <w:rPr>
      <w:rFonts w:ascii="Times New Roman" w:hAnsi="Times New Roman"/>
      <w:b/>
      <w:sz w:val="28"/>
    </w:rPr>
  </w:style>
  <w:style w:type="paragraph" w:styleId="BodyText3">
    <w:name w:val="Body Text 3"/>
    <w:basedOn w:val="Normal"/>
    <w:rsid w:val="006F01B2"/>
    <w:pPr>
      <w:autoSpaceDE w:val="0"/>
      <w:autoSpaceDN w:val="0"/>
      <w:adjustRightInd w:val="0"/>
      <w:ind w:right="-120"/>
      <w:jc w:val="left"/>
    </w:pPr>
    <w:rPr>
      <w:rFonts w:ascii="Times New Roman" w:hAnsi="Times New Roman"/>
      <w:sz w:val="24"/>
    </w:rPr>
  </w:style>
  <w:style w:type="paragraph" w:customStyle="1" w:styleId="contact">
    <w:name w:val="contact"/>
    <w:basedOn w:val="Normal"/>
    <w:rsid w:val="006F01B2"/>
    <w:pPr>
      <w:widowControl w:val="0"/>
      <w:tabs>
        <w:tab w:val="right" w:pos="9180"/>
      </w:tabs>
      <w:jc w:val="left"/>
    </w:pPr>
    <w:rPr>
      <w:rFonts w:ascii="Palatino" w:hAnsi="Palatino"/>
      <w:sz w:val="22"/>
    </w:rPr>
  </w:style>
  <w:style w:type="character" w:styleId="FollowedHyperlink">
    <w:name w:val="FollowedHyperlink"/>
    <w:basedOn w:val="DefaultParagraphFont"/>
    <w:rsid w:val="006F01B2"/>
    <w:rPr>
      <w:color w:val="800080"/>
      <w:u w:val="single"/>
    </w:rPr>
  </w:style>
  <w:style w:type="paragraph" w:customStyle="1" w:styleId="bullet1">
    <w:name w:val="bullet 1"/>
    <w:basedOn w:val="Normal"/>
    <w:rsid w:val="006F01B2"/>
    <w:pPr>
      <w:tabs>
        <w:tab w:val="left" w:pos="2625"/>
      </w:tabs>
      <w:spacing w:after="120" w:line="200" w:lineRule="atLeast"/>
      <w:jc w:val="left"/>
    </w:pPr>
    <w:rPr>
      <w:rFonts w:ascii="Palatino" w:hAnsi="Palatino"/>
      <w:sz w:val="22"/>
    </w:rPr>
  </w:style>
  <w:style w:type="paragraph" w:customStyle="1" w:styleId="cellheadingR">
    <w:name w:val="cellheadingR"/>
    <w:basedOn w:val="Normal"/>
    <w:rsid w:val="006F01B2"/>
    <w:pPr>
      <w:keepNext/>
      <w:spacing w:before="60" w:line="200" w:lineRule="atLeast"/>
      <w:jc w:val="right"/>
    </w:pPr>
    <w:rPr>
      <w:rFonts w:ascii="Palatino" w:hAnsi="Palatino"/>
      <w:b/>
      <w:sz w:val="16"/>
    </w:rPr>
  </w:style>
  <w:style w:type="paragraph" w:styleId="BalloonText">
    <w:name w:val="Balloon Text"/>
    <w:basedOn w:val="Normal"/>
    <w:semiHidden/>
    <w:rsid w:val="009602E1"/>
    <w:rPr>
      <w:rFonts w:ascii="Tahoma" w:hAnsi="Tahoma" w:cs="Tahoma"/>
      <w:sz w:val="16"/>
      <w:szCs w:val="16"/>
    </w:rPr>
  </w:style>
  <w:style w:type="character" w:customStyle="1" w:styleId="EmailStyle371">
    <w:name w:val="EmailStyle37"/>
    <w:aliases w:val="EmailStyle37"/>
    <w:basedOn w:val="DefaultParagraphFont"/>
    <w:semiHidden/>
    <w:personal/>
    <w:personalReply/>
    <w:rsid w:val="008071DA"/>
    <w:rPr>
      <w:rFonts w:ascii="Arial" w:hAnsi="Arial" w:cs="Arial"/>
      <w:color w:val="000080"/>
      <w:sz w:val="20"/>
      <w:szCs w:val="20"/>
    </w:rPr>
  </w:style>
  <w:style w:type="character" w:styleId="CommentReference">
    <w:name w:val="annotation reference"/>
    <w:basedOn w:val="DefaultParagraphFont"/>
    <w:semiHidden/>
    <w:rsid w:val="00A2107F"/>
    <w:rPr>
      <w:sz w:val="16"/>
      <w:szCs w:val="16"/>
    </w:rPr>
  </w:style>
  <w:style w:type="paragraph" w:styleId="ListBullet">
    <w:name w:val="List Bullet"/>
    <w:basedOn w:val="Normal"/>
    <w:rsid w:val="00A2107F"/>
    <w:pPr>
      <w:numPr>
        <w:numId w:val="6"/>
      </w:numPr>
      <w:spacing w:before="160"/>
      <w:jc w:val="left"/>
    </w:pPr>
  </w:style>
  <w:style w:type="paragraph" w:customStyle="1" w:styleId="Default">
    <w:name w:val="Default"/>
    <w:rsid w:val="007D5CCD"/>
    <w:rPr>
      <w:rFonts w:ascii="Helvetica Neue" w:hAnsi="Helvetica Neue"/>
      <w:snapToGrid w:val="0"/>
      <w:color w:val="000000"/>
      <w:sz w:val="24"/>
      <w:lang w:val="en-US" w:eastAsia="en-US"/>
    </w:rPr>
  </w:style>
  <w:style w:type="paragraph" w:styleId="CommentText">
    <w:name w:val="annotation text"/>
    <w:basedOn w:val="Normal"/>
    <w:semiHidden/>
    <w:rsid w:val="00B63F7E"/>
  </w:style>
  <w:style w:type="paragraph" w:styleId="CommentSubject">
    <w:name w:val="annotation subject"/>
    <w:basedOn w:val="CommentText"/>
    <w:next w:val="CommentText"/>
    <w:semiHidden/>
    <w:rsid w:val="00B63F7E"/>
    <w:rPr>
      <w:b/>
      <w:bCs/>
    </w:rPr>
  </w:style>
  <w:style w:type="paragraph" w:customStyle="1" w:styleId="section1">
    <w:name w:val="section1"/>
    <w:basedOn w:val="Normal"/>
    <w:uiPriority w:val="99"/>
    <w:rsid w:val="000B114C"/>
    <w:pPr>
      <w:spacing w:before="100" w:beforeAutospacing="1" w:after="100" w:afterAutospacing="1"/>
      <w:jc w:val="left"/>
    </w:pPr>
    <w:rPr>
      <w:rFonts w:ascii="Times New Roman" w:hAnsi="Times New Roman"/>
      <w:sz w:val="24"/>
      <w:szCs w:val="24"/>
      <w:lang w:eastAsia="ja-JP"/>
    </w:rPr>
  </w:style>
  <w:style w:type="paragraph" w:styleId="NormalWeb">
    <w:name w:val="Normal (Web)"/>
    <w:basedOn w:val="Normal"/>
    <w:uiPriority w:val="99"/>
    <w:rsid w:val="003C2895"/>
    <w:pPr>
      <w:spacing w:before="100" w:beforeAutospacing="1" w:after="100" w:afterAutospacing="1"/>
      <w:jc w:val="left"/>
    </w:pPr>
    <w:rPr>
      <w:rFonts w:ascii="Times New Roman" w:hAnsi="Times New Roman"/>
      <w:sz w:val="24"/>
      <w:szCs w:val="24"/>
    </w:rPr>
  </w:style>
  <w:style w:type="paragraph" w:customStyle="1" w:styleId="CellBodyL">
    <w:name w:val="CellBodyL"/>
    <w:basedOn w:val="Normal"/>
    <w:rsid w:val="007E7BED"/>
    <w:pPr>
      <w:spacing w:after="60"/>
      <w:jc w:val="left"/>
    </w:pPr>
    <w:rPr>
      <w:sz w:val="18"/>
    </w:rPr>
  </w:style>
  <w:style w:type="paragraph" w:customStyle="1" w:styleId="CellBodyR">
    <w:name w:val="CellBodyR"/>
    <w:basedOn w:val="CellBodyL"/>
    <w:rsid w:val="001550C2"/>
    <w:pPr>
      <w:jc w:val="right"/>
    </w:pPr>
  </w:style>
</w:styles>
</file>

<file path=word/webSettings.xml><?xml version="1.0" encoding="utf-8"?>
<w:webSettings xmlns:r="http://schemas.openxmlformats.org/officeDocument/2006/relationships" xmlns:w="http://schemas.openxmlformats.org/wordprocessingml/2006/main">
  <w:divs>
    <w:div w:id="6910670">
      <w:bodyDiv w:val="1"/>
      <w:marLeft w:val="0"/>
      <w:marRight w:val="0"/>
      <w:marTop w:val="0"/>
      <w:marBottom w:val="0"/>
      <w:divBdr>
        <w:top w:val="none" w:sz="0" w:space="0" w:color="auto"/>
        <w:left w:val="none" w:sz="0" w:space="0" w:color="auto"/>
        <w:bottom w:val="none" w:sz="0" w:space="0" w:color="auto"/>
        <w:right w:val="none" w:sz="0" w:space="0" w:color="auto"/>
      </w:divBdr>
    </w:div>
    <w:div w:id="115681549">
      <w:bodyDiv w:val="1"/>
      <w:marLeft w:val="0"/>
      <w:marRight w:val="0"/>
      <w:marTop w:val="0"/>
      <w:marBottom w:val="0"/>
      <w:divBdr>
        <w:top w:val="none" w:sz="0" w:space="0" w:color="auto"/>
        <w:left w:val="none" w:sz="0" w:space="0" w:color="auto"/>
        <w:bottom w:val="none" w:sz="0" w:space="0" w:color="auto"/>
        <w:right w:val="none" w:sz="0" w:space="0" w:color="auto"/>
      </w:divBdr>
    </w:div>
    <w:div w:id="126092139">
      <w:bodyDiv w:val="1"/>
      <w:marLeft w:val="0"/>
      <w:marRight w:val="0"/>
      <w:marTop w:val="0"/>
      <w:marBottom w:val="0"/>
      <w:divBdr>
        <w:top w:val="none" w:sz="0" w:space="0" w:color="auto"/>
        <w:left w:val="none" w:sz="0" w:space="0" w:color="auto"/>
        <w:bottom w:val="none" w:sz="0" w:space="0" w:color="auto"/>
        <w:right w:val="none" w:sz="0" w:space="0" w:color="auto"/>
      </w:divBdr>
    </w:div>
    <w:div w:id="182324233">
      <w:bodyDiv w:val="1"/>
      <w:marLeft w:val="0"/>
      <w:marRight w:val="0"/>
      <w:marTop w:val="0"/>
      <w:marBottom w:val="0"/>
      <w:divBdr>
        <w:top w:val="none" w:sz="0" w:space="0" w:color="auto"/>
        <w:left w:val="none" w:sz="0" w:space="0" w:color="auto"/>
        <w:bottom w:val="none" w:sz="0" w:space="0" w:color="auto"/>
        <w:right w:val="none" w:sz="0" w:space="0" w:color="auto"/>
      </w:divBdr>
    </w:div>
    <w:div w:id="252011784">
      <w:bodyDiv w:val="1"/>
      <w:marLeft w:val="0"/>
      <w:marRight w:val="0"/>
      <w:marTop w:val="0"/>
      <w:marBottom w:val="0"/>
      <w:divBdr>
        <w:top w:val="none" w:sz="0" w:space="0" w:color="auto"/>
        <w:left w:val="none" w:sz="0" w:space="0" w:color="auto"/>
        <w:bottom w:val="none" w:sz="0" w:space="0" w:color="auto"/>
        <w:right w:val="none" w:sz="0" w:space="0" w:color="auto"/>
      </w:divBdr>
    </w:div>
    <w:div w:id="352414064">
      <w:bodyDiv w:val="1"/>
      <w:marLeft w:val="0"/>
      <w:marRight w:val="0"/>
      <w:marTop w:val="0"/>
      <w:marBottom w:val="0"/>
      <w:divBdr>
        <w:top w:val="none" w:sz="0" w:space="0" w:color="auto"/>
        <w:left w:val="none" w:sz="0" w:space="0" w:color="auto"/>
        <w:bottom w:val="none" w:sz="0" w:space="0" w:color="auto"/>
        <w:right w:val="none" w:sz="0" w:space="0" w:color="auto"/>
      </w:divBdr>
    </w:div>
    <w:div w:id="405147422">
      <w:bodyDiv w:val="1"/>
      <w:marLeft w:val="0"/>
      <w:marRight w:val="0"/>
      <w:marTop w:val="0"/>
      <w:marBottom w:val="0"/>
      <w:divBdr>
        <w:top w:val="none" w:sz="0" w:space="0" w:color="auto"/>
        <w:left w:val="none" w:sz="0" w:space="0" w:color="auto"/>
        <w:bottom w:val="none" w:sz="0" w:space="0" w:color="auto"/>
        <w:right w:val="none" w:sz="0" w:space="0" w:color="auto"/>
      </w:divBdr>
    </w:div>
    <w:div w:id="458912680">
      <w:bodyDiv w:val="1"/>
      <w:marLeft w:val="0"/>
      <w:marRight w:val="0"/>
      <w:marTop w:val="0"/>
      <w:marBottom w:val="0"/>
      <w:divBdr>
        <w:top w:val="none" w:sz="0" w:space="0" w:color="auto"/>
        <w:left w:val="none" w:sz="0" w:space="0" w:color="auto"/>
        <w:bottom w:val="none" w:sz="0" w:space="0" w:color="auto"/>
        <w:right w:val="none" w:sz="0" w:space="0" w:color="auto"/>
      </w:divBdr>
    </w:div>
    <w:div w:id="474958854">
      <w:bodyDiv w:val="1"/>
      <w:marLeft w:val="0"/>
      <w:marRight w:val="0"/>
      <w:marTop w:val="0"/>
      <w:marBottom w:val="0"/>
      <w:divBdr>
        <w:top w:val="none" w:sz="0" w:space="0" w:color="auto"/>
        <w:left w:val="none" w:sz="0" w:space="0" w:color="auto"/>
        <w:bottom w:val="none" w:sz="0" w:space="0" w:color="auto"/>
        <w:right w:val="none" w:sz="0" w:space="0" w:color="auto"/>
      </w:divBdr>
    </w:div>
    <w:div w:id="501169102">
      <w:bodyDiv w:val="1"/>
      <w:marLeft w:val="0"/>
      <w:marRight w:val="0"/>
      <w:marTop w:val="0"/>
      <w:marBottom w:val="0"/>
      <w:divBdr>
        <w:top w:val="none" w:sz="0" w:space="0" w:color="auto"/>
        <w:left w:val="none" w:sz="0" w:space="0" w:color="auto"/>
        <w:bottom w:val="none" w:sz="0" w:space="0" w:color="auto"/>
        <w:right w:val="none" w:sz="0" w:space="0" w:color="auto"/>
      </w:divBdr>
    </w:div>
    <w:div w:id="658920059">
      <w:bodyDiv w:val="1"/>
      <w:marLeft w:val="0"/>
      <w:marRight w:val="0"/>
      <w:marTop w:val="0"/>
      <w:marBottom w:val="0"/>
      <w:divBdr>
        <w:top w:val="none" w:sz="0" w:space="0" w:color="auto"/>
        <w:left w:val="none" w:sz="0" w:space="0" w:color="auto"/>
        <w:bottom w:val="none" w:sz="0" w:space="0" w:color="auto"/>
        <w:right w:val="none" w:sz="0" w:space="0" w:color="auto"/>
      </w:divBdr>
    </w:div>
    <w:div w:id="738137723">
      <w:bodyDiv w:val="1"/>
      <w:marLeft w:val="0"/>
      <w:marRight w:val="0"/>
      <w:marTop w:val="0"/>
      <w:marBottom w:val="0"/>
      <w:divBdr>
        <w:top w:val="none" w:sz="0" w:space="0" w:color="auto"/>
        <w:left w:val="none" w:sz="0" w:space="0" w:color="auto"/>
        <w:bottom w:val="none" w:sz="0" w:space="0" w:color="auto"/>
        <w:right w:val="none" w:sz="0" w:space="0" w:color="auto"/>
      </w:divBdr>
    </w:div>
    <w:div w:id="752971479">
      <w:bodyDiv w:val="1"/>
      <w:marLeft w:val="0"/>
      <w:marRight w:val="0"/>
      <w:marTop w:val="0"/>
      <w:marBottom w:val="0"/>
      <w:divBdr>
        <w:top w:val="none" w:sz="0" w:space="0" w:color="auto"/>
        <w:left w:val="none" w:sz="0" w:space="0" w:color="auto"/>
        <w:bottom w:val="none" w:sz="0" w:space="0" w:color="auto"/>
        <w:right w:val="none" w:sz="0" w:space="0" w:color="auto"/>
      </w:divBdr>
    </w:div>
    <w:div w:id="758060918">
      <w:bodyDiv w:val="1"/>
      <w:marLeft w:val="0"/>
      <w:marRight w:val="0"/>
      <w:marTop w:val="0"/>
      <w:marBottom w:val="0"/>
      <w:divBdr>
        <w:top w:val="none" w:sz="0" w:space="0" w:color="auto"/>
        <w:left w:val="none" w:sz="0" w:space="0" w:color="auto"/>
        <w:bottom w:val="none" w:sz="0" w:space="0" w:color="auto"/>
        <w:right w:val="none" w:sz="0" w:space="0" w:color="auto"/>
      </w:divBdr>
    </w:div>
    <w:div w:id="773672648">
      <w:bodyDiv w:val="1"/>
      <w:marLeft w:val="0"/>
      <w:marRight w:val="0"/>
      <w:marTop w:val="0"/>
      <w:marBottom w:val="0"/>
      <w:divBdr>
        <w:top w:val="none" w:sz="0" w:space="0" w:color="auto"/>
        <w:left w:val="none" w:sz="0" w:space="0" w:color="auto"/>
        <w:bottom w:val="none" w:sz="0" w:space="0" w:color="auto"/>
        <w:right w:val="none" w:sz="0" w:space="0" w:color="auto"/>
      </w:divBdr>
    </w:div>
    <w:div w:id="806776914">
      <w:bodyDiv w:val="1"/>
      <w:marLeft w:val="0"/>
      <w:marRight w:val="0"/>
      <w:marTop w:val="0"/>
      <w:marBottom w:val="0"/>
      <w:divBdr>
        <w:top w:val="none" w:sz="0" w:space="0" w:color="auto"/>
        <w:left w:val="none" w:sz="0" w:space="0" w:color="auto"/>
        <w:bottom w:val="none" w:sz="0" w:space="0" w:color="auto"/>
        <w:right w:val="none" w:sz="0" w:space="0" w:color="auto"/>
      </w:divBdr>
    </w:div>
    <w:div w:id="807480097">
      <w:bodyDiv w:val="1"/>
      <w:marLeft w:val="0"/>
      <w:marRight w:val="0"/>
      <w:marTop w:val="0"/>
      <w:marBottom w:val="0"/>
      <w:divBdr>
        <w:top w:val="none" w:sz="0" w:space="0" w:color="auto"/>
        <w:left w:val="none" w:sz="0" w:space="0" w:color="auto"/>
        <w:bottom w:val="none" w:sz="0" w:space="0" w:color="auto"/>
        <w:right w:val="none" w:sz="0" w:space="0" w:color="auto"/>
      </w:divBdr>
    </w:div>
    <w:div w:id="876166026">
      <w:bodyDiv w:val="1"/>
      <w:marLeft w:val="0"/>
      <w:marRight w:val="0"/>
      <w:marTop w:val="0"/>
      <w:marBottom w:val="0"/>
      <w:divBdr>
        <w:top w:val="none" w:sz="0" w:space="0" w:color="auto"/>
        <w:left w:val="none" w:sz="0" w:space="0" w:color="auto"/>
        <w:bottom w:val="none" w:sz="0" w:space="0" w:color="auto"/>
        <w:right w:val="none" w:sz="0" w:space="0" w:color="auto"/>
      </w:divBdr>
    </w:div>
    <w:div w:id="900991614">
      <w:bodyDiv w:val="1"/>
      <w:marLeft w:val="0"/>
      <w:marRight w:val="0"/>
      <w:marTop w:val="0"/>
      <w:marBottom w:val="0"/>
      <w:divBdr>
        <w:top w:val="none" w:sz="0" w:space="0" w:color="auto"/>
        <w:left w:val="none" w:sz="0" w:space="0" w:color="auto"/>
        <w:bottom w:val="none" w:sz="0" w:space="0" w:color="auto"/>
        <w:right w:val="none" w:sz="0" w:space="0" w:color="auto"/>
      </w:divBdr>
    </w:div>
    <w:div w:id="911622229">
      <w:bodyDiv w:val="1"/>
      <w:marLeft w:val="0"/>
      <w:marRight w:val="0"/>
      <w:marTop w:val="0"/>
      <w:marBottom w:val="0"/>
      <w:divBdr>
        <w:top w:val="none" w:sz="0" w:space="0" w:color="auto"/>
        <w:left w:val="none" w:sz="0" w:space="0" w:color="auto"/>
        <w:bottom w:val="none" w:sz="0" w:space="0" w:color="auto"/>
        <w:right w:val="none" w:sz="0" w:space="0" w:color="auto"/>
      </w:divBdr>
    </w:div>
    <w:div w:id="1000889419">
      <w:bodyDiv w:val="1"/>
      <w:marLeft w:val="0"/>
      <w:marRight w:val="0"/>
      <w:marTop w:val="0"/>
      <w:marBottom w:val="0"/>
      <w:divBdr>
        <w:top w:val="none" w:sz="0" w:space="0" w:color="auto"/>
        <w:left w:val="none" w:sz="0" w:space="0" w:color="auto"/>
        <w:bottom w:val="none" w:sz="0" w:space="0" w:color="auto"/>
        <w:right w:val="none" w:sz="0" w:space="0" w:color="auto"/>
      </w:divBdr>
    </w:div>
    <w:div w:id="1008211665">
      <w:bodyDiv w:val="1"/>
      <w:marLeft w:val="0"/>
      <w:marRight w:val="0"/>
      <w:marTop w:val="0"/>
      <w:marBottom w:val="0"/>
      <w:divBdr>
        <w:top w:val="none" w:sz="0" w:space="0" w:color="auto"/>
        <w:left w:val="none" w:sz="0" w:space="0" w:color="auto"/>
        <w:bottom w:val="none" w:sz="0" w:space="0" w:color="auto"/>
        <w:right w:val="none" w:sz="0" w:space="0" w:color="auto"/>
      </w:divBdr>
    </w:div>
    <w:div w:id="1098253473">
      <w:bodyDiv w:val="1"/>
      <w:marLeft w:val="0"/>
      <w:marRight w:val="0"/>
      <w:marTop w:val="0"/>
      <w:marBottom w:val="0"/>
      <w:divBdr>
        <w:top w:val="none" w:sz="0" w:space="0" w:color="auto"/>
        <w:left w:val="none" w:sz="0" w:space="0" w:color="auto"/>
        <w:bottom w:val="none" w:sz="0" w:space="0" w:color="auto"/>
        <w:right w:val="none" w:sz="0" w:space="0" w:color="auto"/>
      </w:divBdr>
    </w:div>
    <w:div w:id="1187215658">
      <w:bodyDiv w:val="1"/>
      <w:marLeft w:val="0"/>
      <w:marRight w:val="0"/>
      <w:marTop w:val="0"/>
      <w:marBottom w:val="0"/>
      <w:divBdr>
        <w:top w:val="none" w:sz="0" w:space="0" w:color="auto"/>
        <w:left w:val="none" w:sz="0" w:space="0" w:color="auto"/>
        <w:bottom w:val="none" w:sz="0" w:space="0" w:color="auto"/>
        <w:right w:val="none" w:sz="0" w:space="0" w:color="auto"/>
      </w:divBdr>
    </w:div>
    <w:div w:id="1204908908">
      <w:bodyDiv w:val="1"/>
      <w:marLeft w:val="0"/>
      <w:marRight w:val="0"/>
      <w:marTop w:val="0"/>
      <w:marBottom w:val="0"/>
      <w:divBdr>
        <w:top w:val="none" w:sz="0" w:space="0" w:color="auto"/>
        <w:left w:val="none" w:sz="0" w:space="0" w:color="auto"/>
        <w:bottom w:val="none" w:sz="0" w:space="0" w:color="auto"/>
        <w:right w:val="none" w:sz="0" w:space="0" w:color="auto"/>
      </w:divBdr>
    </w:div>
    <w:div w:id="1331717595">
      <w:bodyDiv w:val="1"/>
      <w:marLeft w:val="0"/>
      <w:marRight w:val="0"/>
      <w:marTop w:val="0"/>
      <w:marBottom w:val="0"/>
      <w:divBdr>
        <w:top w:val="none" w:sz="0" w:space="0" w:color="auto"/>
        <w:left w:val="none" w:sz="0" w:space="0" w:color="auto"/>
        <w:bottom w:val="none" w:sz="0" w:space="0" w:color="auto"/>
        <w:right w:val="none" w:sz="0" w:space="0" w:color="auto"/>
      </w:divBdr>
    </w:div>
    <w:div w:id="1359741433">
      <w:bodyDiv w:val="1"/>
      <w:marLeft w:val="0"/>
      <w:marRight w:val="0"/>
      <w:marTop w:val="0"/>
      <w:marBottom w:val="0"/>
      <w:divBdr>
        <w:top w:val="none" w:sz="0" w:space="0" w:color="auto"/>
        <w:left w:val="none" w:sz="0" w:space="0" w:color="auto"/>
        <w:bottom w:val="none" w:sz="0" w:space="0" w:color="auto"/>
        <w:right w:val="none" w:sz="0" w:space="0" w:color="auto"/>
      </w:divBdr>
    </w:div>
    <w:div w:id="1527210363">
      <w:bodyDiv w:val="1"/>
      <w:marLeft w:val="0"/>
      <w:marRight w:val="0"/>
      <w:marTop w:val="0"/>
      <w:marBottom w:val="0"/>
      <w:divBdr>
        <w:top w:val="none" w:sz="0" w:space="0" w:color="auto"/>
        <w:left w:val="none" w:sz="0" w:space="0" w:color="auto"/>
        <w:bottom w:val="none" w:sz="0" w:space="0" w:color="auto"/>
        <w:right w:val="none" w:sz="0" w:space="0" w:color="auto"/>
      </w:divBdr>
    </w:div>
    <w:div w:id="1581330346">
      <w:bodyDiv w:val="1"/>
      <w:marLeft w:val="0"/>
      <w:marRight w:val="0"/>
      <w:marTop w:val="0"/>
      <w:marBottom w:val="0"/>
      <w:divBdr>
        <w:top w:val="none" w:sz="0" w:space="0" w:color="auto"/>
        <w:left w:val="none" w:sz="0" w:space="0" w:color="auto"/>
        <w:bottom w:val="none" w:sz="0" w:space="0" w:color="auto"/>
        <w:right w:val="none" w:sz="0" w:space="0" w:color="auto"/>
      </w:divBdr>
    </w:div>
    <w:div w:id="1615942508">
      <w:bodyDiv w:val="1"/>
      <w:marLeft w:val="0"/>
      <w:marRight w:val="0"/>
      <w:marTop w:val="0"/>
      <w:marBottom w:val="0"/>
      <w:divBdr>
        <w:top w:val="none" w:sz="0" w:space="0" w:color="auto"/>
        <w:left w:val="none" w:sz="0" w:space="0" w:color="auto"/>
        <w:bottom w:val="none" w:sz="0" w:space="0" w:color="auto"/>
        <w:right w:val="none" w:sz="0" w:space="0" w:color="auto"/>
      </w:divBdr>
    </w:div>
    <w:div w:id="1654210767">
      <w:bodyDiv w:val="1"/>
      <w:marLeft w:val="0"/>
      <w:marRight w:val="0"/>
      <w:marTop w:val="0"/>
      <w:marBottom w:val="0"/>
      <w:divBdr>
        <w:top w:val="none" w:sz="0" w:space="0" w:color="auto"/>
        <w:left w:val="none" w:sz="0" w:space="0" w:color="auto"/>
        <w:bottom w:val="none" w:sz="0" w:space="0" w:color="auto"/>
        <w:right w:val="none" w:sz="0" w:space="0" w:color="auto"/>
      </w:divBdr>
    </w:div>
    <w:div w:id="1701661004">
      <w:bodyDiv w:val="1"/>
      <w:marLeft w:val="0"/>
      <w:marRight w:val="0"/>
      <w:marTop w:val="0"/>
      <w:marBottom w:val="0"/>
      <w:divBdr>
        <w:top w:val="none" w:sz="0" w:space="0" w:color="auto"/>
        <w:left w:val="none" w:sz="0" w:space="0" w:color="auto"/>
        <w:bottom w:val="none" w:sz="0" w:space="0" w:color="auto"/>
        <w:right w:val="none" w:sz="0" w:space="0" w:color="auto"/>
      </w:divBdr>
    </w:div>
    <w:div w:id="1819683217">
      <w:bodyDiv w:val="1"/>
      <w:marLeft w:val="0"/>
      <w:marRight w:val="0"/>
      <w:marTop w:val="0"/>
      <w:marBottom w:val="0"/>
      <w:divBdr>
        <w:top w:val="none" w:sz="0" w:space="0" w:color="auto"/>
        <w:left w:val="none" w:sz="0" w:space="0" w:color="auto"/>
        <w:bottom w:val="none" w:sz="0" w:space="0" w:color="auto"/>
        <w:right w:val="none" w:sz="0" w:space="0" w:color="auto"/>
      </w:divBdr>
    </w:div>
    <w:div w:id="1850096955">
      <w:bodyDiv w:val="1"/>
      <w:marLeft w:val="0"/>
      <w:marRight w:val="0"/>
      <w:marTop w:val="0"/>
      <w:marBottom w:val="0"/>
      <w:divBdr>
        <w:top w:val="none" w:sz="0" w:space="0" w:color="auto"/>
        <w:left w:val="none" w:sz="0" w:space="0" w:color="auto"/>
        <w:bottom w:val="none" w:sz="0" w:space="0" w:color="auto"/>
        <w:right w:val="none" w:sz="0" w:space="0" w:color="auto"/>
      </w:divBdr>
    </w:div>
    <w:div w:id="1904944216">
      <w:bodyDiv w:val="1"/>
      <w:marLeft w:val="0"/>
      <w:marRight w:val="0"/>
      <w:marTop w:val="0"/>
      <w:marBottom w:val="0"/>
      <w:divBdr>
        <w:top w:val="none" w:sz="0" w:space="0" w:color="auto"/>
        <w:left w:val="none" w:sz="0" w:space="0" w:color="auto"/>
        <w:bottom w:val="none" w:sz="0" w:space="0" w:color="auto"/>
        <w:right w:val="none" w:sz="0" w:space="0" w:color="auto"/>
      </w:divBdr>
    </w:div>
    <w:div w:id="1976449565">
      <w:bodyDiv w:val="1"/>
      <w:marLeft w:val="0"/>
      <w:marRight w:val="0"/>
      <w:marTop w:val="0"/>
      <w:marBottom w:val="0"/>
      <w:divBdr>
        <w:top w:val="none" w:sz="0" w:space="0" w:color="auto"/>
        <w:left w:val="none" w:sz="0" w:space="0" w:color="auto"/>
        <w:bottom w:val="none" w:sz="0" w:space="0" w:color="auto"/>
        <w:right w:val="none" w:sz="0" w:space="0" w:color="auto"/>
      </w:divBdr>
    </w:div>
    <w:div w:id="1988245338">
      <w:bodyDiv w:val="1"/>
      <w:marLeft w:val="0"/>
      <w:marRight w:val="0"/>
      <w:marTop w:val="0"/>
      <w:marBottom w:val="0"/>
      <w:divBdr>
        <w:top w:val="none" w:sz="0" w:space="0" w:color="auto"/>
        <w:left w:val="none" w:sz="0" w:space="0" w:color="auto"/>
        <w:bottom w:val="none" w:sz="0" w:space="0" w:color="auto"/>
        <w:right w:val="none" w:sz="0" w:space="0" w:color="auto"/>
      </w:divBdr>
    </w:div>
    <w:div w:id="2028798311">
      <w:bodyDiv w:val="1"/>
      <w:marLeft w:val="0"/>
      <w:marRight w:val="0"/>
      <w:marTop w:val="0"/>
      <w:marBottom w:val="0"/>
      <w:divBdr>
        <w:top w:val="none" w:sz="0" w:space="0" w:color="auto"/>
        <w:left w:val="none" w:sz="0" w:space="0" w:color="auto"/>
        <w:bottom w:val="none" w:sz="0" w:space="0" w:color="auto"/>
        <w:right w:val="none" w:sz="0" w:space="0" w:color="auto"/>
      </w:divBdr>
    </w:div>
    <w:div w:id="210102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tner.com/it/products/research/asset_129157_2395.j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rob.vandermeulen@gartner.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artner.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NEW_newtemplate_bi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NEW_newtemplate_big</Template>
  <TotalTime>0</TotalTime>
  <Pages>3</Pages>
  <Words>1430</Words>
  <Characters>8151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19990729</vt:lpstr>
    </vt:vector>
  </TitlesOfParts>
  <Company>Gartner</Company>
  <LinksUpToDate>false</LinksUpToDate>
  <CharactersWithSpaces>9562</CharactersWithSpaces>
  <SharedDoc>false</SharedDoc>
  <HLinks>
    <vt:vector size="18" baseType="variant">
      <vt:variant>
        <vt:i4>2883681</vt:i4>
      </vt:variant>
      <vt:variant>
        <vt:i4>6</vt:i4>
      </vt:variant>
      <vt:variant>
        <vt:i4>0</vt:i4>
      </vt:variant>
      <vt:variant>
        <vt:i4>5</vt:i4>
      </vt:variant>
      <vt:variant>
        <vt:lpwstr>http://www.gartner.com/</vt:lpwstr>
      </vt:variant>
      <vt:variant>
        <vt:lpwstr/>
      </vt:variant>
      <vt:variant>
        <vt:i4>7012473</vt:i4>
      </vt:variant>
      <vt:variant>
        <vt:i4>3</vt:i4>
      </vt:variant>
      <vt:variant>
        <vt:i4>0</vt:i4>
      </vt:variant>
      <vt:variant>
        <vt:i4>5</vt:i4>
      </vt:variant>
      <vt:variant>
        <vt:lpwstr>http://www.gartner.com/it/products/research/asset_129157_2395.jsp</vt:lpwstr>
      </vt:variant>
      <vt:variant>
        <vt:lpwstr/>
      </vt:variant>
      <vt:variant>
        <vt:i4>7536660</vt:i4>
      </vt:variant>
      <vt:variant>
        <vt:i4>0</vt:i4>
      </vt:variant>
      <vt:variant>
        <vt:i4>0</vt:i4>
      </vt:variant>
      <vt:variant>
        <vt:i4>5</vt:i4>
      </vt:variant>
      <vt:variant>
        <vt:lpwstr>mailto:janessa.rivera@gartner.com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19990729</dc:title>
  <dc:creator>GartnerGroup</dc:creator>
  <dc:description>GartnerGroup Reports IT Spending to Rise 67 Percent by 2002</dc:description>
  <cp:lastModifiedBy>rvanderm</cp:lastModifiedBy>
  <cp:revision>2</cp:revision>
  <cp:lastPrinted>2012-04-11T09:36:00Z</cp:lastPrinted>
  <dcterms:created xsi:type="dcterms:W3CDTF">2013-04-11T07:40:00Z</dcterms:created>
  <dcterms:modified xsi:type="dcterms:W3CDTF">2013-04-11T07:40:00Z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No">
    <vt:lpwstr>19990729</vt:lpwstr>
  </property>
  <property fmtid="{D5CDD505-2E9C-101B-9397-08002B2CF9AE}" pid="3" name="PubCode">
    <vt:lpwstr> </vt:lpwstr>
  </property>
  <property fmtid="{D5CDD505-2E9C-101B-9397-08002B2CF9AE}" pid="4" name="PubDate">
    <vt:lpwstr>07/29/1999</vt:lpwstr>
  </property>
  <property fmtid="{D5CDD505-2E9C-101B-9397-08002B2CF9AE}" pid="5" name="Service">
    <vt:lpwstr>Collateral</vt:lpwstr>
  </property>
  <property fmtid="{D5CDD505-2E9C-101B-9397-08002B2CF9AE}" pid="6" name="BusUnit">
    <vt:lpwstr>GartnerGroup</vt:lpwstr>
  </property>
  <property fmtid="{D5CDD505-2E9C-101B-9397-08002B2CF9AE}" pid="7" name="DocCode">
    <vt:lpwstr> </vt:lpwstr>
  </property>
  <property fmtid="{D5CDD505-2E9C-101B-9397-08002B2CF9AE}" pid="8" name="DocTypeDesc">
    <vt:lpwstr>Collateral</vt:lpwstr>
  </property>
  <property fmtid="{D5CDD505-2E9C-101B-9397-08002B2CF9AE}" pid="9" name="Editor">
    <vt:lpwstr/>
  </property>
  <property fmtid="{D5CDD505-2E9C-101B-9397-08002B2CF9AE}" pid="10" name="ExpirationDate">
    <vt:lpwstr>01/29/2000</vt:lpwstr>
  </property>
  <property fmtid="{D5CDD505-2E9C-101B-9397-08002B2CF9AE}" pid="11" name="SubTypeAbbrev">
    <vt:lpwstr>PR</vt:lpwstr>
  </property>
  <property fmtid="{D5CDD505-2E9C-101B-9397-08002B2CF9AE}" pid="12" name="SubTypeDesc">
    <vt:lpwstr>Press Release</vt:lpwstr>
  </property>
  <property fmtid="{D5CDD505-2E9C-101B-9397-08002B2CF9AE}" pid="13" name="DocTypeAbbrev">
    <vt:lpwstr>COL</vt:lpwstr>
  </property>
  <property fmtid="{D5CDD505-2E9C-101B-9397-08002B2CF9AE}" pid="14" name="Language">
    <vt:lpwstr>ENGLISH</vt:lpwstr>
  </property>
  <property fmtid="{D5CDD505-2E9C-101B-9397-08002B2CF9AE}" pid="15" name="Company">
    <vt:lpwstr> </vt:lpwstr>
  </property>
  <property fmtid="{D5CDD505-2E9C-101B-9397-08002B2CF9AE}" pid="16" name="ContentType">
    <vt:lpwstr>Marketing</vt:lpwstr>
  </property>
  <property fmtid="{D5CDD505-2E9C-101B-9397-08002B2CF9AE}" pid="17" name="Deliverable">
    <vt:lpwstr> </vt:lpwstr>
  </property>
  <property fmtid="{D5CDD505-2E9C-101B-9397-08002B2CF9AE}" pid="18" name="DocClass">
    <vt:lpwstr> </vt:lpwstr>
  </property>
  <property fmtid="{D5CDD505-2E9C-101B-9397-08002B2CF9AE}" pid="19" name="DocSubType2">
    <vt:lpwstr> </vt:lpwstr>
  </property>
  <property fmtid="{D5CDD505-2E9C-101B-9397-08002B2CF9AE}" pid="20" name="DocAuthor">
    <vt:lpwstr>Allison Haines</vt:lpwstr>
  </property>
  <property fmtid="{D5CDD505-2E9C-101B-9397-08002B2CF9AE}" pid="21" name="source">
    <vt:lpwstr>gg</vt:lpwstr>
  </property>
</Properties>
</file>