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0D6" w:rsidRPr="00D706EB" w:rsidRDefault="007D30D6" w:rsidP="007D30D6">
      <w:pPr>
        <w:pStyle w:val="contact"/>
        <w:widowControl/>
        <w:tabs>
          <w:tab w:val="clear" w:pos="9180"/>
        </w:tabs>
        <w:rPr>
          <w:rFonts w:ascii="Arial" w:hAnsi="Arial" w:cs="Arial"/>
        </w:rPr>
      </w:pPr>
      <w:r w:rsidRPr="00D706EB">
        <w:rPr>
          <w:rFonts w:ascii="Arial" w:hAnsi="Arial" w:cs="Arial"/>
        </w:rPr>
        <w:t>FOR IMMEDIATE RELEASE</w:t>
      </w:r>
    </w:p>
    <w:p w:rsidR="007D30D6" w:rsidRPr="00D706EB" w:rsidRDefault="007D30D6" w:rsidP="007D30D6">
      <w:pPr>
        <w:jc w:val="left"/>
        <w:rPr>
          <w:sz w:val="22"/>
          <w:szCs w:val="22"/>
        </w:rPr>
      </w:pPr>
    </w:p>
    <w:p w:rsidR="007D30D6" w:rsidRPr="00D706EB" w:rsidRDefault="007D30D6" w:rsidP="007D30D6">
      <w:pPr>
        <w:pStyle w:val="contact"/>
        <w:widowControl/>
        <w:rPr>
          <w:rFonts w:ascii="Arial" w:hAnsi="Arial" w:cs="Arial"/>
          <w:color w:val="000000"/>
        </w:rPr>
      </w:pPr>
      <w:r w:rsidRPr="00D706EB">
        <w:rPr>
          <w:rFonts w:ascii="Arial" w:hAnsi="Arial" w:cs="Arial"/>
          <w:smallCaps/>
          <w:color w:val="000000"/>
        </w:rPr>
        <w:t>CONTACTS:</w:t>
      </w:r>
    </w:p>
    <w:p w:rsidR="007D30D6" w:rsidRPr="00D706EB" w:rsidRDefault="007D30D6" w:rsidP="007D30D6">
      <w:pPr>
        <w:pStyle w:val="contact"/>
        <w:widowControl/>
        <w:rPr>
          <w:rFonts w:ascii="Arial" w:hAnsi="Arial" w:cs="Arial"/>
          <w:color w:val="000000"/>
        </w:rPr>
      </w:pPr>
      <w:r>
        <w:rPr>
          <w:rFonts w:ascii="Arial" w:hAnsi="Arial" w:cs="Arial"/>
          <w:color w:val="000000"/>
        </w:rPr>
        <w:t>Rob van der Meulen</w:t>
      </w:r>
      <w:r w:rsidRPr="00D706EB">
        <w:rPr>
          <w:rFonts w:ascii="Arial" w:hAnsi="Arial" w:cs="Arial"/>
          <w:color w:val="000000"/>
        </w:rPr>
        <w:tab/>
        <w:t>Christy Pettey</w:t>
      </w:r>
    </w:p>
    <w:p w:rsidR="007D30D6" w:rsidRPr="00D706EB" w:rsidRDefault="007D30D6" w:rsidP="007D30D6">
      <w:pPr>
        <w:pStyle w:val="contact"/>
        <w:widowControl/>
        <w:rPr>
          <w:rFonts w:ascii="Arial" w:hAnsi="Arial" w:cs="Arial"/>
          <w:color w:val="000000"/>
        </w:rPr>
      </w:pPr>
      <w:r w:rsidRPr="00D706EB">
        <w:rPr>
          <w:rFonts w:ascii="Arial" w:hAnsi="Arial" w:cs="Arial"/>
          <w:color w:val="000000"/>
        </w:rPr>
        <w:t>Gartner</w:t>
      </w:r>
      <w:r w:rsidRPr="00D706EB">
        <w:rPr>
          <w:rFonts w:ascii="Arial" w:hAnsi="Arial" w:cs="Arial"/>
          <w:color w:val="000000"/>
        </w:rPr>
        <w:tab/>
        <w:t>Gartner</w:t>
      </w:r>
    </w:p>
    <w:p w:rsidR="007D30D6" w:rsidRPr="00D706EB" w:rsidRDefault="007D30D6" w:rsidP="007D30D6">
      <w:pPr>
        <w:pStyle w:val="contact"/>
        <w:widowControl/>
        <w:rPr>
          <w:rFonts w:ascii="Arial" w:hAnsi="Arial" w:cs="Arial"/>
          <w:color w:val="000000"/>
        </w:rPr>
      </w:pPr>
      <w:r w:rsidRPr="00D706EB">
        <w:rPr>
          <w:rFonts w:ascii="Arial" w:hAnsi="Arial" w:cs="Arial"/>
        </w:rPr>
        <w:t>+ 44 (0)</w:t>
      </w:r>
      <w:r w:rsidRPr="00D706EB">
        <w:rPr>
          <w:rFonts w:ascii="Arial" w:hAnsi="Arial" w:cs="Arial"/>
          <w:b/>
          <w:bCs/>
        </w:rPr>
        <w:t xml:space="preserve"> </w:t>
      </w:r>
      <w:r w:rsidRPr="00D706EB">
        <w:rPr>
          <w:rStyle w:val="Strong"/>
          <w:rFonts w:ascii="Arial" w:hAnsi="Arial" w:cs="Arial"/>
          <w:b w:val="0"/>
          <w:bCs w:val="0"/>
        </w:rPr>
        <w:t>1784 267 738</w:t>
      </w:r>
      <w:r w:rsidRPr="00D706EB">
        <w:rPr>
          <w:rFonts w:ascii="Arial" w:hAnsi="Arial" w:cs="Arial"/>
          <w:color w:val="000000"/>
        </w:rPr>
        <w:tab/>
        <w:t>+ 1 408 468 8312</w:t>
      </w:r>
    </w:p>
    <w:p w:rsidR="007D30D6" w:rsidRPr="00D706EB" w:rsidRDefault="00F76E0C" w:rsidP="007D30D6">
      <w:pPr>
        <w:pStyle w:val="contact"/>
        <w:widowControl/>
        <w:rPr>
          <w:rFonts w:ascii="Arial" w:hAnsi="Arial" w:cs="Arial"/>
          <w:color w:val="000000"/>
        </w:rPr>
      </w:pPr>
      <w:hyperlink r:id="rId6" w:history="1">
        <w:r w:rsidR="007D30D6" w:rsidRPr="005B7522">
          <w:rPr>
            <w:rStyle w:val="Hyperlink"/>
            <w:rFonts w:ascii="Arial" w:hAnsi="Arial" w:cs="Arial"/>
          </w:rPr>
          <w:t>rob.vandermeulen@gartner.com</w:t>
        </w:r>
      </w:hyperlink>
      <w:r w:rsidR="007D30D6" w:rsidRPr="00D706EB">
        <w:rPr>
          <w:rFonts w:ascii="Arial" w:hAnsi="Arial" w:cs="Arial"/>
          <w:color w:val="000000"/>
        </w:rPr>
        <w:tab/>
      </w:r>
      <w:hyperlink r:id="rId7" w:history="1">
        <w:r w:rsidR="007D30D6" w:rsidRPr="00D706EB">
          <w:rPr>
            <w:rStyle w:val="Hyperlink"/>
            <w:rFonts w:ascii="Arial" w:hAnsi="Arial" w:cs="Arial"/>
          </w:rPr>
          <w:t>christy.pettey@gartner.com</w:t>
        </w:r>
      </w:hyperlink>
    </w:p>
    <w:p w:rsidR="007D30D6" w:rsidRPr="00D706EB" w:rsidRDefault="007D30D6" w:rsidP="007D30D6">
      <w:pPr>
        <w:pStyle w:val="contact"/>
        <w:widowControl/>
        <w:rPr>
          <w:rFonts w:ascii="Arial" w:hAnsi="Arial" w:cs="Arial"/>
        </w:rPr>
      </w:pPr>
    </w:p>
    <w:p w:rsidR="007D30D6" w:rsidRPr="00D706EB" w:rsidRDefault="007D30D6" w:rsidP="007D30D6">
      <w:pPr>
        <w:spacing w:after="160"/>
        <w:jc w:val="center"/>
        <w:rPr>
          <w:b/>
          <w:bCs/>
          <w:sz w:val="24"/>
          <w:szCs w:val="24"/>
        </w:rPr>
      </w:pPr>
      <w:bookmarkStart w:id="0" w:name="OLE_LINK1"/>
      <w:r w:rsidRPr="00D706EB">
        <w:rPr>
          <w:b/>
          <w:bCs/>
          <w:sz w:val="24"/>
          <w:szCs w:val="24"/>
        </w:rPr>
        <w:t>Gartner Says Worldwide</w:t>
      </w:r>
      <w:r>
        <w:rPr>
          <w:b/>
          <w:bCs/>
          <w:sz w:val="24"/>
          <w:szCs w:val="24"/>
        </w:rPr>
        <w:t xml:space="preserve"> Sal</w:t>
      </w:r>
      <w:r w:rsidR="00244426">
        <w:rPr>
          <w:b/>
          <w:bCs/>
          <w:sz w:val="24"/>
          <w:szCs w:val="24"/>
        </w:rPr>
        <w:t>es of Mobile Phones Declined 3</w:t>
      </w:r>
      <w:r w:rsidRPr="00D706EB">
        <w:rPr>
          <w:b/>
          <w:bCs/>
          <w:sz w:val="24"/>
          <w:szCs w:val="24"/>
        </w:rPr>
        <w:t xml:space="preserve"> Pe</w:t>
      </w:r>
      <w:r>
        <w:rPr>
          <w:b/>
          <w:bCs/>
          <w:sz w:val="24"/>
          <w:szCs w:val="24"/>
        </w:rPr>
        <w:t>r C</w:t>
      </w:r>
      <w:r w:rsidRPr="00D706EB">
        <w:rPr>
          <w:b/>
          <w:bCs/>
          <w:sz w:val="24"/>
          <w:szCs w:val="24"/>
        </w:rPr>
        <w:t xml:space="preserve">ent in </w:t>
      </w:r>
      <w:r>
        <w:rPr>
          <w:b/>
          <w:bCs/>
          <w:sz w:val="24"/>
          <w:szCs w:val="24"/>
        </w:rPr>
        <w:t>Third</w:t>
      </w:r>
      <w:r w:rsidRPr="00D706EB">
        <w:rPr>
          <w:b/>
          <w:bCs/>
          <w:sz w:val="24"/>
          <w:szCs w:val="24"/>
        </w:rPr>
        <w:t xml:space="preserve"> Quarter</w:t>
      </w:r>
      <w:r w:rsidR="000633B2">
        <w:rPr>
          <w:b/>
          <w:bCs/>
          <w:sz w:val="24"/>
          <w:szCs w:val="24"/>
        </w:rPr>
        <w:t xml:space="preserve"> </w:t>
      </w:r>
      <w:r w:rsidRPr="00D706EB">
        <w:rPr>
          <w:b/>
          <w:bCs/>
          <w:sz w:val="24"/>
          <w:szCs w:val="24"/>
        </w:rPr>
        <w:t xml:space="preserve">of 2012; Smartphone Sales Increased </w:t>
      </w:r>
      <w:r w:rsidR="006A37DE">
        <w:rPr>
          <w:b/>
          <w:bCs/>
          <w:sz w:val="24"/>
          <w:szCs w:val="24"/>
        </w:rPr>
        <w:t>47</w:t>
      </w:r>
      <w:r w:rsidRPr="00D706EB">
        <w:rPr>
          <w:b/>
          <w:bCs/>
          <w:sz w:val="24"/>
          <w:szCs w:val="24"/>
        </w:rPr>
        <w:t xml:space="preserve"> </w:t>
      </w:r>
      <w:r>
        <w:rPr>
          <w:b/>
          <w:bCs/>
          <w:sz w:val="24"/>
          <w:szCs w:val="24"/>
        </w:rPr>
        <w:t>Per C</w:t>
      </w:r>
      <w:r w:rsidRPr="00D706EB">
        <w:rPr>
          <w:b/>
          <w:bCs/>
          <w:sz w:val="24"/>
          <w:szCs w:val="24"/>
        </w:rPr>
        <w:t>ent</w:t>
      </w:r>
    </w:p>
    <w:p w:rsidR="007D30D6" w:rsidRDefault="007D30D6" w:rsidP="001C5D72">
      <w:pPr>
        <w:spacing w:after="160"/>
        <w:jc w:val="center"/>
        <w:rPr>
          <w:b/>
          <w:i/>
          <w:sz w:val="22"/>
          <w:szCs w:val="22"/>
        </w:rPr>
      </w:pPr>
      <w:r>
        <w:rPr>
          <w:b/>
          <w:i/>
          <w:sz w:val="22"/>
          <w:szCs w:val="22"/>
        </w:rPr>
        <w:t xml:space="preserve">Samsung Extended </w:t>
      </w:r>
      <w:r w:rsidR="002A4DFA">
        <w:rPr>
          <w:b/>
          <w:i/>
          <w:sz w:val="22"/>
          <w:szCs w:val="22"/>
        </w:rPr>
        <w:t xml:space="preserve">Its </w:t>
      </w:r>
      <w:r>
        <w:rPr>
          <w:b/>
          <w:i/>
          <w:sz w:val="22"/>
          <w:szCs w:val="22"/>
        </w:rPr>
        <w:t>Lead</w:t>
      </w:r>
      <w:r w:rsidR="008C68AD">
        <w:rPr>
          <w:b/>
          <w:i/>
          <w:sz w:val="22"/>
          <w:szCs w:val="22"/>
        </w:rPr>
        <w:t xml:space="preserve"> in the Smartphone Market</w:t>
      </w:r>
      <w:r w:rsidR="002A4DFA">
        <w:rPr>
          <w:b/>
          <w:i/>
          <w:sz w:val="22"/>
          <w:szCs w:val="22"/>
        </w:rPr>
        <w:t xml:space="preserve"> Widening the Gap with Apple</w:t>
      </w:r>
    </w:p>
    <w:p w:rsidR="007D30D6" w:rsidRDefault="007D30D6" w:rsidP="007D30D6">
      <w:pPr>
        <w:jc w:val="left"/>
        <w:rPr>
          <w:sz w:val="22"/>
          <w:szCs w:val="22"/>
        </w:rPr>
      </w:pPr>
      <w:r w:rsidRPr="00D706EB">
        <w:rPr>
          <w:sz w:val="22"/>
          <w:szCs w:val="22"/>
        </w:rPr>
        <w:t>Egham, U</w:t>
      </w:r>
      <w:r>
        <w:rPr>
          <w:sz w:val="22"/>
          <w:szCs w:val="22"/>
        </w:rPr>
        <w:t>K</w:t>
      </w:r>
      <w:r w:rsidRPr="00D706EB">
        <w:rPr>
          <w:sz w:val="22"/>
          <w:szCs w:val="22"/>
        </w:rPr>
        <w:t xml:space="preserve">, </w:t>
      </w:r>
      <w:r>
        <w:rPr>
          <w:sz w:val="22"/>
          <w:szCs w:val="22"/>
        </w:rPr>
        <w:t>14</w:t>
      </w:r>
      <w:r w:rsidRPr="00D706EB">
        <w:rPr>
          <w:sz w:val="22"/>
          <w:szCs w:val="22"/>
        </w:rPr>
        <w:t xml:space="preserve"> </w:t>
      </w:r>
      <w:r>
        <w:rPr>
          <w:sz w:val="22"/>
          <w:szCs w:val="22"/>
        </w:rPr>
        <w:t>November</w:t>
      </w:r>
      <w:r w:rsidRPr="00D706EB">
        <w:rPr>
          <w:sz w:val="22"/>
          <w:szCs w:val="22"/>
        </w:rPr>
        <w:t xml:space="preserve"> 2012 — Worldwide sales of mobile</w:t>
      </w:r>
      <w:r w:rsidR="00244426">
        <w:rPr>
          <w:sz w:val="22"/>
          <w:szCs w:val="22"/>
        </w:rPr>
        <w:t xml:space="preserve"> phones to end users reached</w:t>
      </w:r>
      <w:r w:rsidR="008A639B">
        <w:rPr>
          <w:sz w:val="22"/>
          <w:szCs w:val="22"/>
        </w:rPr>
        <w:t xml:space="preserve"> almost</w:t>
      </w:r>
      <w:r w:rsidR="00244426">
        <w:rPr>
          <w:sz w:val="22"/>
          <w:szCs w:val="22"/>
        </w:rPr>
        <w:t xml:space="preserve"> 42</w:t>
      </w:r>
      <w:r w:rsidR="002A4DFA">
        <w:rPr>
          <w:sz w:val="22"/>
          <w:szCs w:val="22"/>
        </w:rPr>
        <w:t>8</w:t>
      </w:r>
      <w:r w:rsidRPr="00D706EB">
        <w:rPr>
          <w:sz w:val="22"/>
          <w:szCs w:val="22"/>
        </w:rPr>
        <w:t xml:space="preserve"> million units in the </w:t>
      </w:r>
      <w:r w:rsidR="00244426">
        <w:rPr>
          <w:sz w:val="22"/>
          <w:szCs w:val="22"/>
        </w:rPr>
        <w:t>third quarter of 2012, a 3.1</w:t>
      </w:r>
      <w:r w:rsidRPr="00D706EB">
        <w:rPr>
          <w:sz w:val="22"/>
          <w:szCs w:val="22"/>
        </w:rPr>
        <w:t xml:space="preserve"> per</w:t>
      </w:r>
      <w:r>
        <w:rPr>
          <w:sz w:val="22"/>
          <w:szCs w:val="22"/>
        </w:rPr>
        <w:t xml:space="preserve"> </w:t>
      </w:r>
      <w:r w:rsidRPr="00D706EB">
        <w:rPr>
          <w:sz w:val="22"/>
          <w:szCs w:val="22"/>
        </w:rPr>
        <w:t xml:space="preserve">cent decline from the </w:t>
      </w:r>
      <w:r>
        <w:rPr>
          <w:sz w:val="22"/>
          <w:szCs w:val="22"/>
        </w:rPr>
        <w:t>third</w:t>
      </w:r>
      <w:r w:rsidRPr="00D706EB">
        <w:rPr>
          <w:sz w:val="22"/>
          <w:szCs w:val="22"/>
        </w:rPr>
        <w:t xml:space="preserve"> quarter of 2011, according to Gartner, Inc. Sma</w:t>
      </w:r>
      <w:r w:rsidR="00244426">
        <w:rPr>
          <w:sz w:val="22"/>
          <w:szCs w:val="22"/>
        </w:rPr>
        <w:t>rtphone sales accounted for 39.</w:t>
      </w:r>
      <w:r w:rsidR="005601E8">
        <w:rPr>
          <w:sz w:val="22"/>
          <w:szCs w:val="22"/>
        </w:rPr>
        <w:t>6</w:t>
      </w:r>
      <w:r w:rsidRPr="00D706EB">
        <w:rPr>
          <w:sz w:val="22"/>
          <w:szCs w:val="22"/>
        </w:rPr>
        <w:t xml:space="preserve"> per</w:t>
      </w:r>
      <w:r>
        <w:rPr>
          <w:sz w:val="22"/>
          <w:szCs w:val="22"/>
        </w:rPr>
        <w:t xml:space="preserve"> </w:t>
      </w:r>
      <w:r w:rsidRPr="00D706EB">
        <w:rPr>
          <w:sz w:val="22"/>
          <w:szCs w:val="22"/>
        </w:rPr>
        <w:t xml:space="preserve">cent </w:t>
      </w:r>
      <w:r w:rsidR="00244426">
        <w:rPr>
          <w:sz w:val="22"/>
          <w:szCs w:val="22"/>
        </w:rPr>
        <w:t xml:space="preserve">of total mobile phone sales, </w:t>
      </w:r>
      <w:r w:rsidR="00E2499E">
        <w:rPr>
          <w:sz w:val="22"/>
          <w:szCs w:val="22"/>
        </w:rPr>
        <w:t xml:space="preserve">as smartphone sales increased </w:t>
      </w:r>
      <w:r w:rsidR="006A37DE">
        <w:rPr>
          <w:sz w:val="22"/>
          <w:szCs w:val="22"/>
        </w:rPr>
        <w:t>46.9</w:t>
      </w:r>
      <w:r w:rsidRPr="00D706EB">
        <w:rPr>
          <w:sz w:val="22"/>
          <w:szCs w:val="22"/>
        </w:rPr>
        <w:t xml:space="preserve"> per</w:t>
      </w:r>
      <w:r>
        <w:rPr>
          <w:sz w:val="22"/>
          <w:szCs w:val="22"/>
        </w:rPr>
        <w:t xml:space="preserve"> </w:t>
      </w:r>
      <w:r w:rsidRPr="00D706EB">
        <w:rPr>
          <w:sz w:val="22"/>
          <w:szCs w:val="22"/>
        </w:rPr>
        <w:t xml:space="preserve">cent </w:t>
      </w:r>
      <w:r w:rsidR="00244426">
        <w:rPr>
          <w:sz w:val="22"/>
          <w:szCs w:val="22"/>
        </w:rPr>
        <w:t>from the third quarter of 2011.</w:t>
      </w:r>
      <w:r w:rsidR="00E2499E">
        <w:rPr>
          <w:sz w:val="22"/>
          <w:szCs w:val="22"/>
        </w:rPr>
        <w:t xml:space="preserve"> </w:t>
      </w:r>
    </w:p>
    <w:p w:rsidR="00E2499E" w:rsidRDefault="00E2499E" w:rsidP="007D30D6">
      <w:pPr>
        <w:jc w:val="left"/>
        <w:rPr>
          <w:sz w:val="22"/>
          <w:szCs w:val="22"/>
        </w:rPr>
      </w:pPr>
    </w:p>
    <w:p w:rsidR="00E2499E" w:rsidRPr="00D706EB" w:rsidRDefault="00E2499E" w:rsidP="007D30D6">
      <w:pPr>
        <w:jc w:val="left"/>
        <w:rPr>
          <w:sz w:val="22"/>
          <w:szCs w:val="22"/>
        </w:rPr>
      </w:pPr>
      <w:r>
        <w:rPr>
          <w:sz w:val="22"/>
          <w:szCs w:val="22"/>
        </w:rPr>
        <w:t>While the mobile</w:t>
      </w:r>
      <w:r w:rsidR="00A60599">
        <w:rPr>
          <w:sz w:val="22"/>
          <w:szCs w:val="22"/>
        </w:rPr>
        <w:t xml:space="preserve"> phone market declined year-on</w:t>
      </w:r>
      <w:r>
        <w:rPr>
          <w:sz w:val="22"/>
          <w:szCs w:val="22"/>
        </w:rPr>
        <w:t>-year, Gartner analysts said there were positive signs for the industry during the third quarter.</w:t>
      </w:r>
    </w:p>
    <w:p w:rsidR="007D30D6" w:rsidRPr="00D706EB" w:rsidRDefault="007D30D6" w:rsidP="007D30D6">
      <w:pPr>
        <w:jc w:val="left"/>
        <w:rPr>
          <w:sz w:val="22"/>
          <w:szCs w:val="22"/>
        </w:rPr>
      </w:pPr>
    </w:p>
    <w:p w:rsidR="00E2499E" w:rsidRDefault="007D30D6" w:rsidP="007D30D6">
      <w:pPr>
        <w:jc w:val="left"/>
        <w:rPr>
          <w:sz w:val="22"/>
          <w:szCs w:val="22"/>
        </w:rPr>
      </w:pPr>
      <w:r>
        <w:rPr>
          <w:sz w:val="22"/>
          <w:szCs w:val="22"/>
        </w:rPr>
        <w:t>"</w:t>
      </w:r>
      <w:r w:rsidR="005601E8">
        <w:rPr>
          <w:sz w:val="22"/>
          <w:szCs w:val="22"/>
        </w:rPr>
        <w:t xml:space="preserve">After two </w:t>
      </w:r>
      <w:r w:rsidR="001C5D72">
        <w:rPr>
          <w:sz w:val="22"/>
          <w:szCs w:val="22"/>
        </w:rPr>
        <w:t>consecutive quarter</w:t>
      </w:r>
      <w:r>
        <w:rPr>
          <w:sz w:val="22"/>
          <w:szCs w:val="22"/>
        </w:rPr>
        <w:t xml:space="preserve"> of decline </w:t>
      </w:r>
      <w:r w:rsidR="000633B2">
        <w:rPr>
          <w:sz w:val="22"/>
          <w:szCs w:val="22"/>
        </w:rPr>
        <w:t xml:space="preserve">in mobile phone sales, </w:t>
      </w:r>
      <w:r>
        <w:rPr>
          <w:sz w:val="22"/>
          <w:szCs w:val="22"/>
        </w:rPr>
        <w:t>demand has</w:t>
      </w:r>
      <w:r w:rsidR="001C5D72">
        <w:rPr>
          <w:sz w:val="22"/>
          <w:szCs w:val="22"/>
        </w:rPr>
        <w:t xml:space="preserve"> im</w:t>
      </w:r>
      <w:r>
        <w:rPr>
          <w:sz w:val="22"/>
          <w:szCs w:val="22"/>
        </w:rPr>
        <w:t xml:space="preserve">proved </w:t>
      </w:r>
      <w:r w:rsidR="001C5D72">
        <w:rPr>
          <w:sz w:val="22"/>
          <w:szCs w:val="22"/>
        </w:rPr>
        <w:t>in both mature</w:t>
      </w:r>
      <w:r>
        <w:rPr>
          <w:sz w:val="22"/>
          <w:szCs w:val="22"/>
        </w:rPr>
        <w:t xml:space="preserve"> and emerging markets</w:t>
      </w:r>
      <w:r w:rsidR="00382E2A">
        <w:rPr>
          <w:sz w:val="22"/>
          <w:szCs w:val="22"/>
        </w:rPr>
        <w:t xml:space="preserve"> as sales increased sequentially</w:t>
      </w:r>
      <w:r>
        <w:rPr>
          <w:sz w:val="22"/>
          <w:szCs w:val="22"/>
        </w:rPr>
        <w:t>,"</w:t>
      </w:r>
      <w:r w:rsidRPr="00D706EB">
        <w:rPr>
          <w:sz w:val="22"/>
          <w:szCs w:val="22"/>
        </w:rPr>
        <w:t xml:space="preserve"> said Anshul Gupta, principal research analyst at Gartner.</w:t>
      </w:r>
      <w:r>
        <w:rPr>
          <w:sz w:val="22"/>
          <w:szCs w:val="22"/>
        </w:rPr>
        <w:t xml:space="preserve"> “</w:t>
      </w:r>
      <w:r w:rsidR="000657C5">
        <w:rPr>
          <w:sz w:val="22"/>
          <w:szCs w:val="22"/>
        </w:rPr>
        <w:t>In China, s</w:t>
      </w:r>
      <w:r>
        <w:rPr>
          <w:sz w:val="22"/>
          <w:szCs w:val="22"/>
        </w:rPr>
        <w:t>ales of mob</w:t>
      </w:r>
      <w:r w:rsidR="001C5D72">
        <w:rPr>
          <w:sz w:val="22"/>
          <w:szCs w:val="22"/>
        </w:rPr>
        <w:t xml:space="preserve">ile phones </w:t>
      </w:r>
      <w:r w:rsidR="000657C5">
        <w:rPr>
          <w:sz w:val="22"/>
          <w:szCs w:val="22"/>
        </w:rPr>
        <w:t>grew driven by sales of smartphones</w:t>
      </w:r>
      <w:r w:rsidR="008C68AD">
        <w:rPr>
          <w:sz w:val="22"/>
          <w:szCs w:val="22"/>
        </w:rPr>
        <w:t>,</w:t>
      </w:r>
      <w:r>
        <w:rPr>
          <w:sz w:val="22"/>
          <w:szCs w:val="22"/>
        </w:rPr>
        <w:t xml:space="preserve"> while</w:t>
      </w:r>
      <w:r w:rsidR="000657C5">
        <w:rPr>
          <w:sz w:val="22"/>
          <w:szCs w:val="22"/>
        </w:rPr>
        <w:t xml:space="preserve"> demand of feature phones remained weak. I</w:t>
      </w:r>
      <w:r>
        <w:rPr>
          <w:sz w:val="22"/>
          <w:szCs w:val="22"/>
        </w:rPr>
        <w:t>n mature markets</w:t>
      </w:r>
      <w:r w:rsidR="008C68AD">
        <w:rPr>
          <w:sz w:val="22"/>
          <w:szCs w:val="22"/>
        </w:rPr>
        <w:t>,</w:t>
      </w:r>
      <w:r>
        <w:rPr>
          <w:sz w:val="22"/>
          <w:szCs w:val="22"/>
        </w:rPr>
        <w:t xml:space="preserve"> we finally saw replacement sales </w:t>
      </w:r>
      <w:r w:rsidR="0043277F">
        <w:rPr>
          <w:sz w:val="22"/>
          <w:szCs w:val="22"/>
        </w:rPr>
        <w:t>pick up</w:t>
      </w:r>
      <w:r w:rsidR="00F14736">
        <w:rPr>
          <w:sz w:val="22"/>
          <w:szCs w:val="22"/>
        </w:rPr>
        <w:t xml:space="preserve"> </w:t>
      </w:r>
      <w:r>
        <w:rPr>
          <w:sz w:val="22"/>
          <w:szCs w:val="22"/>
        </w:rPr>
        <w:t xml:space="preserve">with </w:t>
      </w:r>
      <w:r w:rsidR="00E2499E">
        <w:rPr>
          <w:sz w:val="22"/>
          <w:szCs w:val="22"/>
        </w:rPr>
        <w:t xml:space="preserve">the </w:t>
      </w:r>
      <w:r>
        <w:rPr>
          <w:sz w:val="22"/>
          <w:szCs w:val="22"/>
        </w:rPr>
        <w:t>launch of new devices in the quarter.</w:t>
      </w:r>
      <w:r w:rsidR="000657C5">
        <w:rPr>
          <w:sz w:val="22"/>
          <w:szCs w:val="22"/>
        </w:rPr>
        <w:t>”</w:t>
      </w:r>
      <w:r w:rsidRPr="00D706EB">
        <w:rPr>
          <w:sz w:val="22"/>
          <w:szCs w:val="22"/>
        </w:rPr>
        <w:t xml:space="preserve"> </w:t>
      </w:r>
    </w:p>
    <w:p w:rsidR="00E2499E" w:rsidRDefault="00E2499E" w:rsidP="007D30D6">
      <w:pPr>
        <w:jc w:val="left"/>
        <w:rPr>
          <w:sz w:val="22"/>
          <w:szCs w:val="22"/>
        </w:rPr>
      </w:pPr>
    </w:p>
    <w:p w:rsidR="00E2499E" w:rsidRDefault="007D30D6" w:rsidP="007D30D6">
      <w:pPr>
        <w:jc w:val="left"/>
        <w:rPr>
          <w:sz w:val="22"/>
          <w:szCs w:val="22"/>
        </w:rPr>
      </w:pPr>
      <w:r>
        <w:rPr>
          <w:sz w:val="22"/>
          <w:szCs w:val="22"/>
        </w:rPr>
        <w:t>Smartphones continued to fuel sales of mobile phones wo</w:t>
      </w:r>
      <w:r w:rsidR="000657C5">
        <w:rPr>
          <w:sz w:val="22"/>
          <w:szCs w:val="22"/>
        </w:rPr>
        <w:t>rldwide with sales rising to 169.2</w:t>
      </w:r>
      <w:r>
        <w:rPr>
          <w:sz w:val="22"/>
          <w:szCs w:val="22"/>
        </w:rPr>
        <w:t xml:space="preserve"> million units in the third quarter of 2012.</w:t>
      </w:r>
      <w:r w:rsidR="00E2499E">
        <w:rPr>
          <w:sz w:val="22"/>
          <w:szCs w:val="22"/>
        </w:rPr>
        <w:t xml:space="preserve"> </w:t>
      </w:r>
      <w:r w:rsidR="000633B2">
        <w:rPr>
          <w:sz w:val="22"/>
          <w:szCs w:val="22"/>
        </w:rPr>
        <w:t>T</w:t>
      </w:r>
      <w:r>
        <w:rPr>
          <w:sz w:val="22"/>
          <w:szCs w:val="22"/>
        </w:rPr>
        <w:t xml:space="preserve">he smartphone market </w:t>
      </w:r>
      <w:r w:rsidR="00E2499E">
        <w:rPr>
          <w:sz w:val="22"/>
          <w:szCs w:val="22"/>
        </w:rPr>
        <w:t>was</w:t>
      </w:r>
      <w:r w:rsidR="00B27C94">
        <w:rPr>
          <w:sz w:val="22"/>
          <w:szCs w:val="22"/>
        </w:rPr>
        <w:t xml:space="preserve"> dominated by</w:t>
      </w:r>
      <w:r>
        <w:rPr>
          <w:sz w:val="22"/>
          <w:szCs w:val="22"/>
        </w:rPr>
        <w:t xml:space="preserve"> Apple and Samsung</w:t>
      </w:r>
      <w:r w:rsidR="001C5D72">
        <w:rPr>
          <w:sz w:val="22"/>
          <w:szCs w:val="22"/>
        </w:rPr>
        <w:t xml:space="preserve">. </w:t>
      </w:r>
      <w:r w:rsidR="008A639B">
        <w:rPr>
          <w:sz w:val="22"/>
          <w:szCs w:val="22"/>
        </w:rPr>
        <w:t>“</w:t>
      </w:r>
      <w:r w:rsidR="001C5D72">
        <w:rPr>
          <w:sz w:val="22"/>
          <w:szCs w:val="22"/>
        </w:rPr>
        <w:t>B</w:t>
      </w:r>
      <w:r>
        <w:rPr>
          <w:sz w:val="22"/>
          <w:szCs w:val="22"/>
        </w:rPr>
        <w:t>oth</w:t>
      </w:r>
      <w:r w:rsidR="001C5D72">
        <w:rPr>
          <w:sz w:val="22"/>
          <w:szCs w:val="22"/>
        </w:rPr>
        <w:t xml:space="preserve"> vendors</w:t>
      </w:r>
      <w:r>
        <w:rPr>
          <w:sz w:val="22"/>
          <w:szCs w:val="22"/>
        </w:rPr>
        <w:t xml:space="preserve"> </w:t>
      </w:r>
      <w:r w:rsidR="005601E8">
        <w:rPr>
          <w:sz w:val="22"/>
          <w:szCs w:val="22"/>
        </w:rPr>
        <w:t>together controlled 46.5</w:t>
      </w:r>
      <w:r w:rsidR="002A4DFA">
        <w:rPr>
          <w:sz w:val="22"/>
          <w:szCs w:val="22"/>
        </w:rPr>
        <w:t xml:space="preserve"> per cent</w:t>
      </w:r>
      <w:r w:rsidR="005601E8">
        <w:rPr>
          <w:sz w:val="22"/>
          <w:szCs w:val="22"/>
        </w:rPr>
        <w:t xml:space="preserve"> of smartphone market leaving </w:t>
      </w:r>
      <w:r w:rsidR="0043277F">
        <w:rPr>
          <w:sz w:val="22"/>
          <w:szCs w:val="22"/>
        </w:rPr>
        <w:t>a handful of vendors fighting over a distant third spot</w:t>
      </w:r>
      <w:r w:rsidR="008C68AD">
        <w:rPr>
          <w:sz w:val="22"/>
          <w:szCs w:val="22"/>
        </w:rPr>
        <w:t>,” said Mr Gupta.</w:t>
      </w:r>
      <w:r w:rsidR="00B27C94" w:rsidRPr="00B27C94">
        <w:rPr>
          <w:sz w:val="22"/>
          <w:szCs w:val="22"/>
        </w:rPr>
        <w:t xml:space="preserve"> </w:t>
      </w:r>
    </w:p>
    <w:p w:rsidR="00E2499E" w:rsidRDefault="00E2499E" w:rsidP="007D30D6">
      <w:pPr>
        <w:jc w:val="left"/>
        <w:rPr>
          <w:sz w:val="22"/>
          <w:szCs w:val="22"/>
        </w:rPr>
      </w:pPr>
    </w:p>
    <w:p w:rsidR="00B27C94" w:rsidRDefault="00B27C94" w:rsidP="007D30D6">
      <w:pPr>
        <w:jc w:val="left"/>
        <w:rPr>
          <w:sz w:val="22"/>
          <w:szCs w:val="22"/>
        </w:rPr>
      </w:pPr>
      <w:r w:rsidRPr="00B27C94">
        <w:rPr>
          <w:sz w:val="22"/>
          <w:szCs w:val="22"/>
        </w:rPr>
        <w:t xml:space="preserve">Nokia slipped from No. 3 in the second quarter of 2012 to No. 7 in smartphone sales in the third quarter of 2012. </w:t>
      </w:r>
      <w:r w:rsidR="00312255">
        <w:rPr>
          <w:sz w:val="22"/>
          <w:szCs w:val="22"/>
        </w:rPr>
        <w:t>RIM</w:t>
      </w:r>
      <w:r w:rsidRPr="00B27C94">
        <w:rPr>
          <w:sz w:val="22"/>
          <w:szCs w:val="22"/>
        </w:rPr>
        <w:t xml:space="preserve"> moved to the No. 3 </w:t>
      </w:r>
      <w:r w:rsidR="00312255">
        <w:rPr>
          <w:sz w:val="22"/>
          <w:szCs w:val="22"/>
        </w:rPr>
        <w:t>spot with HTC</w:t>
      </w:r>
      <w:r w:rsidRPr="00B27C94">
        <w:rPr>
          <w:sz w:val="22"/>
          <w:szCs w:val="22"/>
        </w:rPr>
        <w:t xml:space="preserve"> not far behind, at No. 4. “Both HTC and RIM have seen their sales declining in past few quarters, and the challenges might prevent them from holding on to their current rankings in coming quarters,” </w:t>
      </w:r>
      <w:r w:rsidR="008C68AD">
        <w:rPr>
          <w:sz w:val="22"/>
          <w:szCs w:val="22"/>
        </w:rPr>
        <w:t>added Mr Gupta</w:t>
      </w:r>
      <w:r w:rsidRPr="00B27C94">
        <w:rPr>
          <w:sz w:val="22"/>
          <w:szCs w:val="22"/>
        </w:rPr>
        <w:t>.</w:t>
      </w:r>
    </w:p>
    <w:p w:rsidR="007D30D6" w:rsidRDefault="007D30D6" w:rsidP="007D30D6">
      <w:pPr>
        <w:jc w:val="left"/>
        <w:rPr>
          <w:sz w:val="22"/>
          <w:szCs w:val="22"/>
        </w:rPr>
      </w:pPr>
    </w:p>
    <w:p w:rsidR="007D30D6" w:rsidRDefault="0043277F" w:rsidP="007D30D6">
      <w:pPr>
        <w:jc w:val="left"/>
        <w:rPr>
          <w:sz w:val="22"/>
          <w:szCs w:val="22"/>
        </w:rPr>
      </w:pPr>
      <w:r w:rsidRPr="00312255">
        <w:rPr>
          <w:sz w:val="22"/>
          <w:szCs w:val="22"/>
        </w:rPr>
        <w:t>While seasonality in the fourth quarter</w:t>
      </w:r>
      <w:r w:rsidR="00F14736" w:rsidRPr="00312255">
        <w:rPr>
          <w:sz w:val="22"/>
          <w:szCs w:val="22"/>
        </w:rPr>
        <w:t xml:space="preserve"> of 2012</w:t>
      </w:r>
      <w:r w:rsidRPr="00312255">
        <w:rPr>
          <w:sz w:val="22"/>
          <w:szCs w:val="22"/>
        </w:rPr>
        <w:t xml:space="preserve"> will help end</w:t>
      </w:r>
      <w:r w:rsidR="00F14736" w:rsidRPr="00312255">
        <w:rPr>
          <w:sz w:val="22"/>
          <w:szCs w:val="22"/>
        </w:rPr>
        <w:t>-</w:t>
      </w:r>
      <w:r w:rsidRPr="00312255">
        <w:rPr>
          <w:sz w:val="22"/>
          <w:szCs w:val="22"/>
        </w:rPr>
        <w:t>of</w:t>
      </w:r>
      <w:r w:rsidR="00F14736" w:rsidRPr="00312255">
        <w:rPr>
          <w:sz w:val="22"/>
          <w:szCs w:val="22"/>
        </w:rPr>
        <w:t>-</w:t>
      </w:r>
      <w:r w:rsidRPr="00312255">
        <w:rPr>
          <w:sz w:val="22"/>
          <w:szCs w:val="22"/>
        </w:rPr>
        <w:t>year</w:t>
      </w:r>
      <w:r w:rsidR="00F14736" w:rsidRPr="00312255">
        <w:rPr>
          <w:sz w:val="22"/>
          <w:szCs w:val="22"/>
        </w:rPr>
        <w:t xml:space="preserve"> mobile phone</w:t>
      </w:r>
      <w:r w:rsidRPr="00312255">
        <w:rPr>
          <w:sz w:val="22"/>
          <w:szCs w:val="22"/>
        </w:rPr>
        <w:t xml:space="preserve"> </w:t>
      </w:r>
      <w:r w:rsidR="00F14736" w:rsidRPr="00312255">
        <w:rPr>
          <w:sz w:val="22"/>
          <w:szCs w:val="22"/>
        </w:rPr>
        <w:t>sales to end users</w:t>
      </w:r>
      <w:r w:rsidR="00E2499E" w:rsidRPr="00312255">
        <w:rPr>
          <w:sz w:val="22"/>
          <w:szCs w:val="22"/>
        </w:rPr>
        <w:t>,</w:t>
      </w:r>
      <w:r w:rsidRPr="00312255">
        <w:rPr>
          <w:sz w:val="22"/>
          <w:szCs w:val="22"/>
        </w:rPr>
        <w:t xml:space="preserve"> </w:t>
      </w:r>
      <w:r w:rsidR="00F14736" w:rsidRPr="00312255">
        <w:rPr>
          <w:sz w:val="22"/>
          <w:szCs w:val="22"/>
        </w:rPr>
        <w:t xml:space="preserve">Gartner analysts said that </w:t>
      </w:r>
      <w:r w:rsidR="00E2499E" w:rsidRPr="00312255">
        <w:rPr>
          <w:sz w:val="22"/>
          <w:szCs w:val="22"/>
        </w:rPr>
        <w:t>there will be</w:t>
      </w:r>
      <w:r w:rsidR="00F14736" w:rsidRPr="00312255">
        <w:rPr>
          <w:sz w:val="22"/>
          <w:szCs w:val="22"/>
        </w:rPr>
        <w:t xml:space="preserve"> </w:t>
      </w:r>
      <w:r w:rsidRPr="00312255">
        <w:rPr>
          <w:sz w:val="22"/>
          <w:szCs w:val="22"/>
        </w:rPr>
        <w:t>a lower</w:t>
      </w:r>
      <w:r w:rsidR="00F14736" w:rsidRPr="00312255">
        <w:rPr>
          <w:sz w:val="22"/>
          <w:szCs w:val="22"/>
        </w:rPr>
        <w:t>-</w:t>
      </w:r>
      <w:r w:rsidRPr="00312255">
        <w:rPr>
          <w:sz w:val="22"/>
          <w:szCs w:val="22"/>
        </w:rPr>
        <w:t>than</w:t>
      </w:r>
      <w:r w:rsidR="00F14736" w:rsidRPr="00312255">
        <w:rPr>
          <w:sz w:val="22"/>
          <w:szCs w:val="22"/>
        </w:rPr>
        <w:t>-</w:t>
      </w:r>
      <w:r w:rsidRPr="00312255">
        <w:rPr>
          <w:sz w:val="22"/>
          <w:szCs w:val="22"/>
        </w:rPr>
        <w:t>usual boost from the holiday season</w:t>
      </w:r>
      <w:r w:rsidR="00F14736" w:rsidRPr="00312255">
        <w:rPr>
          <w:sz w:val="22"/>
          <w:szCs w:val="22"/>
        </w:rPr>
        <w:t>. C</w:t>
      </w:r>
      <w:r w:rsidR="00B055FD" w:rsidRPr="00312255">
        <w:rPr>
          <w:sz w:val="22"/>
          <w:szCs w:val="22"/>
        </w:rPr>
        <w:t>onsumers are either cautious with their spending or finding new gadgets like tablets</w:t>
      </w:r>
      <w:r w:rsidR="00B22562" w:rsidRPr="00312255">
        <w:rPr>
          <w:sz w:val="22"/>
          <w:szCs w:val="22"/>
        </w:rPr>
        <w:t>,</w:t>
      </w:r>
      <w:r w:rsidR="00F14736" w:rsidRPr="00312255">
        <w:rPr>
          <w:sz w:val="22"/>
          <w:szCs w:val="22"/>
        </w:rPr>
        <w:t xml:space="preserve"> as</w:t>
      </w:r>
      <w:r w:rsidR="00B055FD" w:rsidRPr="00312255">
        <w:rPr>
          <w:sz w:val="22"/>
          <w:szCs w:val="22"/>
        </w:rPr>
        <w:t xml:space="preserve"> more attractive present</w:t>
      </w:r>
      <w:r w:rsidR="00E2499E" w:rsidRPr="00312255">
        <w:rPr>
          <w:sz w:val="22"/>
          <w:szCs w:val="22"/>
        </w:rPr>
        <w:t>s</w:t>
      </w:r>
      <w:r w:rsidR="00F14736" w:rsidRPr="00312255">
        <w:rPr>
          <w:sz w:val="22"/>
          <w:szCs w:val="22"/>
        </w:rPr>
        <w:t>.</w:t>
      </w:r>
    </w:p>
    <w:p w:rsidR="007D30D6" w:rsidRDefault="007D30D6" w:rsidP="007D30D6">
      <w:pPr>
        <w:jc w:val="left"/>
        <w:rPr>
          <w:sz w:val="22"/>
          <w:szCs w:val="22"/>
        </w:rPr>
      </w:pPr>
    </w:p>
    <w:p w:rsidR="007D30D6" w:rsidRPr="002534AD" w:rsidRDefault="007D30D6" w:rsidP="007D30D6">
      <w:pPr>
        <w:jc w:val="left"/>
        <w:rPr>
          <w:rFonts w:eastAsia="SimSun"/>
          <w:sz w:val="22"/>
          <w:szCs w:val="22"/>
        </w:rPr>
      </w:pPr>
      <w:r w:rsidRPr="002534AD">
        <w:rPr>
          <w:rFonts w:eastAsia="SimSun"/>
          <w:sz w:val="22"/>
          <w:szCs w:val="22"/>
        </w:rPr>
        <w:t xml:space="preserve">Samsung’s mobile phones sales continued to accelerate, </w:t>
      </w:r>
      <w:r w:rsidR="008A639B">
        <w:rPr>
          <w:rFonts w:eastAsia="SimSun"/>
          <w:sz w:val="22"/>
          <w:szCs w:val="22"/>
        </w:rPr>
        <w:t>totalling almost 98</w:t>
      </w:r>
      <w:r w:rsidRPr="002534AD">
        <w:rPr>
          <w:rFonts w:eastAsia="SimSun"/>
          <w:sz w:val="22"/>
          <w:szCs w:val="22"/>
        </w:rPr>
        <w:t xml:space="preserve"> million units in the third quar</w:t>
      </w:r>
      <w:r w:rsidR="00B27C94">
        <w:rPr>
          <w:rFonts w:eastAsia="SimSun"/>
          <w:sz w:val="22"/>
          <w:szCs w:val="22"/>
        </w:rPr>
        <w:t>ter of 2012 (see Table 1), up 18.6</w:t>
      </w:r>
      <w:r w:rsidRPr="002534AD">
        <w:rPr>
          <w:rFonts w:eastAsia="SimSun"/>
          <w:sz w:val="22"/>
          <w:szCs w:val="22"/>
        </w:rPr>
        <w:t xml:space="preserve"> per cent year-on-year. </w:t>
      </w:r>
      <w:r w:rsidRPr="002534AD">
        <w:rPr>
          <w:sz w:val="22"/>
          <w:szCs w:val="22"/>
        </w:rPr>
        <w:t>Samsung saw strong demand for Galaxy smartphones</w:t>
      </w:r>
      <w:r w:rsidR="008C68AD">
        <w:rPr>
          <w:sz w:val="22"/>
          <w:szCs w:val="22"/>
        </w:rPr>
        <w:t xml:space="preserve"> across different price points</w:t>
      </w:r>
      <w:r w:rsidR="00E2499E">
        <w:rPr>
          <w:sz w:val="22"/>
          <w:szCs w:val="22"/>
        </w:rPr>
        <w:t>,</w:t>
      </w:r>
      <w:r w:rsidRPr="002534AD">
        <w:rPr>
          <w:sz w:val="22"/>
          <w:szCs w:val="22"/>
        </w:rPr>
        <w:t xml:space="preserve"> and </w:t>
      </w:r>
      <w:r w:rsidR="00E2499E">
        <w:rPr>
          <w:sz w:val="22"/>
          <w:szCs w:val="22"/>
        </w:rPr>
        <w:t xml:space="preserve">it further </w:t>
      </w:r>
      <w:r w:rsidRPr="002534AD">
        <w:rPr>
          <w:sz w:val="22"/>
          <w:szCs w:val="22"/>
        </w:rPr>
        <w:t>widened the gap with Apple in the sm</w:t>
      </w:r>
      <w:r w:rsidR="00B27C94">
        <w:rPr>
          <w:sz w:val="22"/>
          <w:szCs w:val="22"/>
        </w:rPr>
        <w:t>artphone</w:t>
      </w:r>
      <w:r w:rsidR="00B22562">
        <w:rPr>
          <w:sz w:val="22"/>
          <w:szCs w:val="22"/>
        </w:rPr>
        <w:t xml:space="preserve"> </w:t>
      </w:r>
      <w:r w:rsidR="00B27C94">
        <w:rPr>
          <w:sz w:val="22"/>
          <w:szCs w:val="22"/>
        </w:rPr>
        <w:t>market</w:t>
      </w:r>
      <w:r w:rsidR="008C68AD">
        <w:rPr>
          <w:sz w:val="22"/>
          <w:szCs w:val="22"/>
        </w:rPr>
        <w:t>,</w:t>
      </w:r>
      <w:r w:rsidR="00B27C94">
        <w:rPr>
          <w:sz w:val="22"/>
          <w:szCs w:val="22"/>
        </w:rPr>
        <w:t xml:space="preserve"> selling 55 million smartphones in the third quarter of 2012. It commanded 32.5</w:t>
      </w:r>
      <w:r w:rsidRPr="002534AD">
        <w:rPr>
          <w:sz w:val="22"/>
          <w:szCs w:val="22"/>
        </w:rPr>
        <w:t xml:space="preserve"> per cent of the global smartphone market in the third quarter of 2012.</w:t>
      </w:r>
    </w:p>
    <w:p w:rsidR="007D30D6" w:rsidRPr="00D706EB" w:rsidRDefault="007D30D6" w:rsidP="007D30D6">
      <w:pPr>
        <w:jc w:val="left"/>
        <w:rPr>
          <w:rFonts w:eastAsia="SimSun"/>
          <w:sz w:val="22"/>
          <w:szCs w:val="22"/>
        </w:rPr>
      </w:pPr>
    </w:p>
    <w:p w:rsidR="007D30D6" w:rsidRPr="00D706EB" w:rsidRDefault="007D30D6" w:rsidP="007D30D6">
      <w:pPr>
        <w:rPr>
          <w:b/>
          <w:bCs/>
          <w:sz w:val="22"/>
          <w:szCs w:val="22"/>
        </w:rPr>
      </w:pPr>
      <w:r w:rsidRPr="00D706EB">
        <w:rPr>
          <w:b/>
          <w:bCs/>
          <w:sz w:val="22"/>
          <w:szCs w:val="22"/>
        </w:rPr>
        <w:t>Table 1</w:t>
      </w:r>
    </w:p>
    <w:p w:rsidR="007D30D6" w:rsidRPr="00D706EB" w:rsidRDefault="007D30D6" w:rsidP="007D30D6">
      <w:pPr>
        <w:rPr>
          <w:b/>
          <w:bCs/>
          <w:sz w:val="22"/>
          <w:szCs w:val="22"/>
        </w:rPr>
      </w:pPr>
      <w:r w:rsidRPr="00D706EB">
        <w:rPr>
          <w:b/>
          <w:bCs/>
          <w:sz w:val="22"/>
          <w:szCs w:val="22"/>
        </w:rPr>
        <w:t xml:space="preserve">Worldwide Mobile Device Sales to End Users by Vendor in </w:t>
      </w:r>
      <w:r>
        <w:rPr>
          <w:b/>
          <w:bCs/>
          <w:sz w:val="22"/>
          <w:szCs w:val="22"/>
        </w:rPr>
        <w:t>3</w:t>
      </w:r>
      <w:r w:rsidRPr="00D706EB">
        <w:rPr>
          <w:b/>
          <w:bCs/>
          <w:sz w:val="22"/>
          <w:szCs w:val="22"/>
        </w:rPr>
        <w:t>Q12 (Thousands of Units)</w:t>
      </w:r>
    </w:p>
    <w:tbl>
      <w:tblPr>
        <w:tblW w:w="9220" w:type="dxa"/>
        <w:tblInd w:w="-106" w:type="dxa"/>
        <w:tblLook w:val="0000"/>
      </w:tblPr>
      <w:tblGrid>
        <w:gridCol w:w="2540"/>
        <w:gridCol w:w="1670"/>
        <w:gridCol w:w="1670"/>
        <w:gridCol w:w="1670"/>
        <w:gridCol w:w="1670"/>
      </w:tblGrid>
      <w:tr w:rsidR="007D30D6" w:rsidRPr="00D706EB" w:rsidTr="00C060C6">
        <w:trPr>
          <w:trHeight w:val="430"/>
        </w:trPr>
        <w:tc>
          <w:tcPr>
            <w:tcW w:w="2540" w:type="dxa"/>
            <w:tcBorders>
              <w:top w:val="single" w:sz="4" w:space="0" w:color="auto"/>
              <w:left w:val="single" w:sz="4" w:space="0" w:color="auto"/>
              <w:bottom w:val="single" w:sz="4" w:space="0" w:color="auto"/>
            </w:tcBorders>
            <w:noWrap/>
          </w:tcPr>
          <w:p w:rsidR="007D30D6" w:rsidRPr="00D706EB" w:rsidRDefault="007D30D6" w:rsidP="00C060C6">
            <w:pPr>
              <w:jc w:val="left"/>
              <w:rPr>
                <w:b/>
                <w:bCs/>
              </w:rPr>
            </w:pPr>
            <w:r w:rsidRPr="00D706EB">
              <w:rPr>
                <w:b/>
                <w:bCs/>
              </w:rPr>
              <w:lastRenderedPageBreak/>
              <w:t>Company</w:t>
            </w:r>
          </w:p>
        </w:tc>
        <w:tc>
          <w:tcPr>
            <w:tcW w:w="1670" w:type="dxa"/>
            <w:tcBorders>
              <w:top w:val="single" w:sz="4" w:space="0" w:color="auto"/>
              <w:bottom w:val="single" w:sz="4" w:space="0" w:color="auto"/>
            </w:tcBorders>
          </w:tcPr>
          <w:p w:rsidR="007D30D6" w:rsidRPr="00D706EB" w:rsidRDefault="007D30D6" w:rsidP="00C060C6">
            <w:pPr>
              <w:jc w:val="right"/>
              <w:rPr>
                <w:b/>
                <w:bCs/>
              </w:rPr>
            </w:pPr>
            <w:r>
              <w:rPr>
                <w:b/>
                <w:bCs/>
              </w:rPr>
              <w:t>3</w:t>
            </w:r>
            <w:r w:rsidRPr="00D706EB">
              <w:rPr>
                <w:b/>
                <w:bCs/>
              </w:rPr>
              <w:t>Q12</w:t>
            </w:r>
          </w:p>
          <w:p w:rsidR="007D30D6" w:rsidRPr="00D706EB" w:rsidRDefault="007D30D6" w:rsidP="00C060C6">
            <w:pPr>
              <w:jc w:val="right"/>
              <w:rPr>
                <w:b/>
                <w:bCs/>
              </w:rPr>
            </w:pPr>
            <w:r w:rsidRPr="00D706EB">
              <w:rPr>
                <w:b/>
                <w:bCs/>
              </w:rPr>
              <w:t>Units</w:t>
            </w:r>
          </w:p>
        </w:tc>
        <w:tc>
          <w:tcPr>
            <w:tcW w:w="1670" w:type="dxa"/>
            <w:tcBorders>
              <w:top w:val="single" w:sz="4" w:space="0" w:color="auto"/>
              <w:bottom w:val="single" w:sz="4" w:space="0" w:color="auto"/>
            </w:tcBorders>
          </w:tcPr>
          <w:p w:rsidR="007D30D6" w:rsidRPr="00D706EB" w:rsidRDefault="007D30D6" w:rsidP="00C060C6">
            <w:pPr>
              <w:jc w:val="right"/>
              <w:rPr>
                <w:b/>
                <w:bCs/>
              </w:rPr>
            </w:pPr>
            <w:r>
              <w:rPr>
                <w:b/>
                <w:bCs/>
              </w:rPr>
              <w:t>3</w:t>
            </w:r>
            <w:r w:rsidRPr="00D706EB">
              <w:rPr>
                <w:b/>
                <w:bCs/>
              </w:rPr>
              <w:t>Q12 Market Share (%)</w:t>
            </w:r>
          </w:p>
        </w:tc>
        <w:tc>
          <w:tcPr>
            <w:tcW w:w="1670" w:type="dxa"/>
            <w:tcBorders>
              <w:top w:val="single" w:sz="4" w:space="0" w:color="auto"/>
              <w:bottom w:val="single" w:sz="4" w:space="0" w:color="auto"/>
            </w:tcBorders>
          </w:tcPr>
          <w:p w:rsidR="007D30D6" w:rsidRPr="00D706EB" w:rsidRDefault="007D30D6" w:rsidP="00C060C6">
            <w:pPr>
              <w:jc w:val="right"/>
              <w:rPr>
                <w:b/>
                <w:bCs/>
              </w:rPr>
            </w:pPr>
            <w:r>
              <w:rPr>
                <w:b/>
                <w:bCs/>
              </w:rPr>
              <w:t>3</w:t>
            </w:r>
            <w:r w:rsidRPr="00D706EB">
              <w:rPr>
                <w:b/>
                <w:bCs/>
              </w:rPr>
              <w:t>Q11</w:t>
            </w:r>
          </w:p>
          <w:p w:rsidR="007D30D6" w:rsidRPr="00D706EB" w:rsidRDefault="007D30D6" w:rsidP="00C060C6">
            <w:pPr>
              <w:jc w:val="right"/>
              <w:rPr>
                <w:b/>
                <w:bCs/>
              </w:rPr>
            </w:pPr>
            <w:r w:rsidRPr="00D706EB">
              <w:rPr>
                <w:b/>
                <w:bCs/>
              </w:rPr>
              <w:t>Units</w:t>
            </w:r>
          </w:p>
        </w:tc>
        <w:tc>
          <w:tcPr>
            <w:tcW w:w="1670" w:type="dxa"/>
            <w:tcBorders>
              <w:top w:val="single" w:sz="4" w:space="0" w:color="auto"/>
              <w:bottom w:val="single" w:sz="4" w:space="0" w:color="auto"/>
              <w:right w:val="single" w:sz="4" w:space="0" w:color="auto"/>
            </w:tcBorders>
          </w:tcPr>
          <w:p w:rsidR="007D30D6" w:rsidRPr="00D706EB" w:rsidRDefault="007D30D6" w:rsidP="00C060C6">
            <w:pPr>
              <w:jc w:val="right"/>
              <w:rPr>
                <w:b/>
                <w:bCs/>
              </w:rPr>
            </w:pPr>
            <w:r>
              <w:rPr>
                <w:b/>
                <w:bCs/>
              </w:rPr>
              <w:t>3</w:t>
            </w:r>
            <w:r w:rsidRPr="00D706EB">
              <w:rPr>
                <w:b/>
                <w:bCs/>
              </w:rPr>
              <w:t>Q11 Market Share (%)</w:t>
            </w:r>
          </w:p>
        </w:tc>
      </w:tr>
      <w:tr w:rsidR="00244426" w:rsidRPr="00D706EB" w:rsidTr="00C060C6">
        <w:trPr>
          <w:trHeight w:val="220"/>
        </w:trPr>
        <w:tc>
          <w:tcPr>
            <w:tcW w:w="2540" w:type="dxa"/>
            <w:tcBorders>
              <w:top w:val="single" w:sz="4" w:space="0" w:color="auto"/>
              <w:left w:val="single" w:sz="4" w:space="0" w:color="auto"/>
            </w:tcBorders>
            <w:noWrap/>
            <w:vAlign w:val="bottom"/>
          </w:tcPr>
          <w:p w:rsidR="00244426" w:rsidRDefault="00244426">
            <w:bookmarkStart w:id="1" w:name="_Hlk324834306"/>
            <w:bookmarkStart w:id="2" w:name="_Hlk316994500"/>
            <w:r>
              <w:t>Samsung</w:t>
            </w:r>
          </w:p>
        </w:tc>
        <w:tc>
          <w:tcPr>
            <w:tcW w:w="1670" w:type="dxa"/>
            <w:tcBorders>
              <w:top w:val="single" w:sz="4" w:space="0" w:color="auto"/>
            </w:tcBorders>
            <w:noWrap/>
            <w:vAlign w:val="bottom"/>
          </w:tcPr>
          <w:p w:rsidR="00244426" w:rsidRPr="00244426" w:rsidRDefault="00244426" w:rsidP="00C060C6">
            <w:pPr>
              <w:jc w:val="right"/>
              <w:rPr>
                <w:color w:val="000000"/>
              </w:rPr>
            </w:pPr>
            <w:r w:rsidRPr="00244426">
              <w:rPr>
                <w:color w:val="000000"/>
              </w:rPr>
              <w:t>97,956.8</w:t>
            </w:r>
          </w:p>
        </w:tc>
        <w:tc>
          <w:tcPr>
            <w:tcW w:w="1670" w:type="dxa"/>
            <w:tcBorders>
              <w:top w:val="single" w:sz="4" w:space="0" w:color="auto"/>
            </w:tcBorders>
            <w:noWrap/>
          </w:tcPr>
          <w:p w:rsidR="00244426" w:rsidRPr="00244426" w:rsidRDefault="00244426" w:rsidP="00C060C6">
            <w:pPr>
              <w:jc w:val="right"/>
              <w:rPr>
                <w:color w:val="000000"/>
              </w:rPr>
            </w:pPr>
            <w:r w:rsidRPr="00244426">
              <w:rPr>
                <w:color w:val="000000"/>
              </w:rPr>
              <w:t>22.9</w:t>
            </w:r>
          </w:p>
        </w:tc>
        <w:tc>
          <w:tcPr>
            <w:tcW w:w="1670" w:type="dxa"/>
            <w:tcBorders>
              <w:top w:val="single" w:sz="4" w:space="0" w:color="auto"/>
            </w:tcBorders>
            <w:noWrap/>
            <w:vAlign w:val="bottom"/>
          </w:tcPr>
          <w:p w:rsidR="00244426" w:rsidRPr="00244426" w:rsidRDefault="00244426" w:rsidP="00C060C6">
            <w:pPr>
              <w:jc w:val="right"/>
              <w:rPr>
                <w:color w:val="000000"/>
              </w:rPr>
            </w:pPr>
            <w:r w:rsidRPr="00244426">
              <w:rPr>
                <w:color w:val="000000"/>
              </w:rPr>
              <w:t>82,612.2</w:t>
            </w:r>
          </w:p>
        </w:tc>
        <w:tc>
          <w:tcPr>
            <w:tcW w:w="1670" w:type="dxa"/>
            <w:tcBorders>
              <w:top w:val="single" w:sz="4" w:space="0" w:color="auto"/>
              <w:right w:val="single" w:sz="4" w:space="0" w:color="auto"/>
            </w:tcBorders>
            <w:noWrap/>
          </w:tcPr>
          <w:p w:rsidR="00244426" w:rsidRPr="00244426" w:rsidRDefault="00244426" w:rsidP="00C060C6">
            <w:pPr>
              <w:jc w:val="right"/>
              <w:rPr>
                <w:color w:val="000000"/>
              </w:rPr>
            </w:pPr>
            <w:r w:rsidRPr="00244426">
              <w:rPr>
                <w:color w:val="000000"/>
              </w:rPr>
              <w:t>18.7</w:t>
            </w:r>
          </w:p>
        </w:tc>
      </w:tr>
      <w:tr w:rsidR="00244426" w:rsidRPr="00D706EB" w:rsidTr="00C06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540" w:type="dxa"/>
            <w:tcBorders>
              <w:top w:val="nil"/>
              <w:bottom w:val="nil"/>
              <w:right w:val="nil"/>
            </w:tcBorders>
            <w:noWrap/>
            <w:vAlign w:val="bottom"/>
          </w:tcPr>
          <w:p w:rsidR="00244426" w:rsidRDefault="00244426">
            <w:r>
              <w:t>Nokia</w:t>
            </w:r>
          </w:p>
        </w:tc>
        <w:tc>
          <w:tcPr>
            <w:tcW w:w="1670" w:type="dxa"/>
            <w:tcBorders>
              <w:top w:val="nil"/>
              <w:left w:val="nil"/>
              <w:bottom w:val="nil"/>
              <w:right w:val="nil"/>
            </w:tcBorders>
            <w:noWrap/>
            <w:vAlign w:val="bottom"/>
          </w:tcPr>
          <w:p w:rsidR="00244426" w:rsidRPr="00244426" w:rsidRDefault="00244426" w:rsidP="00C060C6">
            <w:pPr>
              <w:jc w:val="right"/>
              <w:rPr>
                <w:color w:val="000000"/>
              </w:rPr>
            </w:pPr>
            <w:r w:rsidRPr="00244426">
              <w:rPr>
                <w:color w:val="000000"/>
              </w:rPr>
              <w:t>82,300.6</w:t>
            </w:r>
          </w:p>
        </w:tc>
        <w:tc>
          <w:tcPr>
            <w:tcW w:w="1670" w:type="dxa"/>
            <w:tcBorders>
              <w:top w:val="nil"/>
              <w:left w:val="nil"/>
              <w:bottom w:val="nil"/>
              <w:right w:val="nil"/>
            </w:tcBorders>
            <w:noWrap/>
          </w:tcPr>
          <w:p w:rsidR="00244426" w:rsidRPr="00244426" w:rsidRDefault="00244426" w:rsidP="00C060C6">
            <w:pPr>
              <w:jc w:val="right"/>
              <w:rPr>
                <w:color w:val="000000"/>
              </w:rPr>
            </w:pPr>
            <w:r w:rsidRPr="00244426">
              <w:rPr>
                <w:color w:val="000000"/>
              </w:rPr>
              <w:t>19.2</w:t>
            </w:r>
          </w:p>
        </w:tc>
        <w:tc>
          <w:tcPr>
            <w:tcW w:w="1670" w:type="dxa"/>
            <w:tcBorders>
              <w:top w:val="nil"/>
              <w:left w:val="nil"/>
              <w:bottom w:val="nil"/>
              <w:right w:val="nil"/>
            </w:tcBorders>
            <w:noWrap/>
            <w:vAlign w:val="bottom"/>
          </w:tcPr>
          <w:p w:rsidR="00244426" w:rsidRPr="00244426" w:rsidRDefault="00244426" w:rsidP="00C060C6">
            <w:pPr>
              <w:jc w:val="right"/>
              <w:rPr>
                <w:color w:val="000000"/>
              </w:rPr>
            </w:pPr>
            <w:r w:rsidRPr="00244426">
              <w:rPr>
                <w:color w:val="000000"/>
              </w:rPr>
              <w:t>105,353.5</w:t>
            </w:r>
          </w:p>
        </w:tc>
        <w:tc>
          <w:tcPr>
            <w:tcW w:w="1670" w:type="dxa"/>
            <w:tcBorders>
              <w:top w:val="nil"/>
              <w:left w:val="nil"/>
              <w:bottom w:val="nil"/>
            </w:tcBorders>
            <w:noWrap/>
          </w:tcPr>
          <w:p w:rsidR="00244426" w:rsidRPr="00244426" w:rsidRDefault="00244426" w:rsidP="00C060C6">
            <w:pPr>
              <w:jc w:val="right"/>
              <w:rPr>
                <w:color w:val="000000"/>
              </w:rPr>
            </w:pPr>
            <w:r w:rsidRPr="00244426">
              <w:rPr>
                <w:color w:val="000000"/>
              </w:rPr>
              <w:t>23.9</w:t>
            </w:r>
          </w:p>
        </w:tc>
      </w:tr>
      <w:tr w:rsidR="00244426" w:rsidRPr="00D706EB" w:rsidTr="00C06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540" w:type="dxa"/>
            <w:tcBorders>
              <w:top w:val="nil"/>
              <w:bottom w:val="nil"/>
              <w:right w:val="nil"/>
            </w:tcBorders>
            <w:noWrap/>
            <w:vAlign w:val="bottom"/>
          </w:tcPr>
          <w:p w:rsidR="00244426" w:rsidRDefault="00244426">
            <w:r>
              <w:t>Apple</w:t>
            </w:r>
          </w:p>
        </w:tc>
        <w:tc>
          <w:tcPr>
            <w:tcW w:w="1670" w:type="dxa"/>
            <w:tcBorders>
              <w:top w:val="nil"/>
              <w:left w:val="nil"/>
              <w:bottom w:val="nil"/>
              <w:right w:val="nil"/>
            </w:tcBorders>
            <w:noWrap/>
            <w:vAlign w:val="bottom"/>
          </w:tcPr>
          <w:p w:rsidR="00244426" w:rsidRPr="00244426" w:rsidRDefault="00244426" w:rsidP="00C060C6">
            <w:pPr>
              <w:jc w:val="right"/>
              <w:rPr>
                <w:color w:val="000000"/>
              </w:rPr>
            </w:pPr>
            <w:r w:rsidRPr="00244426">
              <w:rPr>
                <w:color w:val="000000"/>
              </w:rPr>
              <w:t>23,550.3</w:t>
            </w:r>
          </w:p>
        </w:tc>
        <w:tc>
          <w:tcPr>
            <w:tcW w:w="1670" w:type="dxa"/>
            <w:tcBorders>
              <w:top w:val="nil"/>
              <w:left w:val="nil"/>
              <w:bottom w:val="nil"/>
              <w:right w:val="nil"/>
            </w:tcBorders>
            <w:noWrap/>
          </w:tcPr>
          <w:p w:rsidR="00244426" w:rsidRPr="00244426" w:rsidRDefault="00244426" w:rsidP="00C060C6">
            <w:pPr>
              <w:jc w:val="right"/>
              <w:rPr>
                <w:color w:val="000000"/>
              </w:rPr>
            </w:pPr>
            <w:r w:rsidRPr="00244426">
              <w:rPr>
                <w:color w:val="000000"/>
              </w:rPr>
              <w:t>5.5</w:t>
            </w:r>
          </w:p>
        </w:tc>
        <w:tc>
          <w:tcPr>
            <w:tcW w:w="1670" w:type="dxa"/>
            <w:tcBorders>
              <w:top w:val="nil"/>
              <w:left w:val="nil"/>
              <w:bottom w:val="nil"/>
              <w:right w:val="nil"/>
            </w:tcBorders>
            <w:noWrap/>
            <w:vAlign w:val="bottom"/>
          </w:tcPr>
          <w:p w:rsidR="00244426" w:rsidRPr="00244426" w:rsidRDefault="00244426" w:rsidP="00C060C6">
            <w:pPr>
              <w:jc w:val="right"/>
              <w:rPr>
                <w:color w:val="000000"/>
              </w:rPr>
            </w:pPr>
            <w:r w:rsidRPr="00244426">
              <w:rPr>
                <w:color w:val="000000"/>
              </w:rPr>
              <w:t>17,295.3</w:t>
            </w:r>
          </w:p>
        </w:tc>
        <w:tc>
          <w:tcPr>
            <w:tcW w:w="1670" w:type="dxa"/>
            <w:tcBorders>
              <w:top w:val="nil"/>
              <w:left w:val="nil"/>
              <w:bottom w:val="nil"/>
            </w:tcBorders>
            <w:noWrap/>
          </w:tcPr>
          <w:p w:rsidR="00244426" w:rsidRPr="00244426" w:rsidRDefault="00244426" w:rsidP="00C060C6">
            <w:pPr>
              <w:jc w:val="right"/>
              <w:rPr>
                <w:color w:val="000000"/>
              </w:rPr>
            </w:pPr>
            <w:r w:rsidRPr="00244426">
              <w:rPr>
                <w:color w:val="000000"/>
              </w:rPr>
              <w:t>3.9</w:t>
            </w:r>
          </w:p>
        </w:tc>
      </w:tr>
      <w:tr w:rsidR="00244426" w:rsidRPr="00D706EB" w:rsidTr="00C06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540" w:type="dxa"/>
            <w:tcBorders>
              <w:top w:val="nil"/>
              <w:bottom w:val="nil"/>
              <w:right w:val="nil"/>
            </w:tcBorders>
            <w:noWrap/>
            <w:vAlign w:val="bottom"/>
          </w:tcPr>
          <w:p w:rsidR="00244426" w:rsidRDefault="00244426">
            <w:r>
              <w:t>ZTE</w:t>
            </w:r>
          </w:p>
        </w:tc>
        <w:tc>
          <w:tcPr>
            <w:tcW w:w="1670" w:type="dxa"/>
            <w:tcBorders>
              <w:top w:val="nil"/>
              <w:left w:val="nil"/>
              <w:bottom w:val="nil"/>
              <w:right w:val="nil"/>
            </w:tcBorders>
            <w:noWrap/>
            <w:vAlign w:val="bottom"/>
          </w:tcPr>
          <w:p w:rsidR="00244426" w:rsidRPr="00244426" w:rsidRDefault="00244426" w:rsidP="00C060C6">
            <w:pPr>
              <w:jc w:val="right"/>
              <w:rPr>
                <w:color w:val="000000"/>
              </w:rPr>
            </w:pPr>
            <w:r w:rsidRPr="00244426">
              <w:rPr>
                <w:color w:val="000000"/>
              </w:rPr>
              <w:t>16,654.2</w:t>
            </w:r>
          </w:p>
        </w:tc>
        <w:tc>
          <w:tcPr>
            <w:tcW w:w="1670" w:type="dxa"/>
            <w:tcBorders>
              <w:top w:val="nil"/>
              <w:left w:val="nil"/>
              <w:bottom w:val="nil"/>
              <w:right w:val="nil"/>
            </w:tcBorders>
            <w:noWrap/>
          </w:tcPr>
          <w:p w:rsidR="00244426" w:rsidRPr="00244426" w:rsidRDefault="00244426" w:rsidP="00C060C6">
            <w:pPr>
              <w:jc w:val="right"/>
              <w:rPr>
                <w:color w:val="000000"/>
              </w:rPr>
            </w:pPr>
            <w:r w:rsidRPr="00244426">
              <w:rPr>
                <w:color w:val="000000"/>
              </w:rPr>
              <w:t>3.9</w:t>
            </w:r>
          </w:p>
        </w:tc>
        <w:tc>
          <w:tcPr>
            <w:tcW w:w="1670" w:type="dxa"/>
            <w:tcBorders>
              <w:top w:val="nil"/>
              <w:left w:val="nil"/>
              <w:bottom w:val="nil"/>
              <w:right w:val="nil"/>
            </w:tcBorders>
            <w:noWrap/>
            <w:vAlign w:val="bottom"/>
          </w:tcPr>
          <w:p w:rsidR="00244426" w:rsidRPr="00244426" w:rsidRDefault="00244426" w:rsidP="00C060C6">
            <w:pPr>
              <w:jc w:val="right"/>
              <w:rPr>
                <w:color w:val="000000"/>
              </w:rPr>
            </w:pPr>
            <w:r w:rsidRPr="00244426">
              <w:rPr>
                <w:color w:val="000000"/>
              </w:rPr>
              <w:t>14,107.8</w:t>
            </w:r>
          </w:p>
        </w:tc>
        <w:tc>
          <w:tcPr>
            <w:tcW w:w="1670" w:type="dxa"/>
            <w:tcBorders>
              <w:top w:val="nil"/>
              <w:left w:val="nil"/>
              <w:bottom w:val="nil"/>
            </w:tcBorders>
            <w:noWrap/>
          </w:tcPr>
          <w:p w:rsidR="00244426" w:rsidRPr="00244426" w:rsidRDefault="00244426" w:rsidP="00C060C6">
            <w:pPr>
              <w:jc w:val="right"/>
              <w:rPr>
                <w:color w:val="000000"/>
              </w:rPr>
            </w:pPr>
            <w:r w:rsidRPr="00244426">
              <w:rPr>
                <w:color w:val="000000"/>
              </w:rPr>
              <w:t>3.2</w:t>
            </w:r>
          </w:p>
        </w:tc>
      </w:tr>
      <w:tr w:rsidR="00244426" w:rsidRPr="00D706EB" w:rsidTr="00C06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540" w:type="dxa"/>
            <w:tcBorders>
              <w:top w:val="nil"/>
              <w:bottom w:val="nil"/>
              <w:right w:val="nil"/>
            </w:tcBorders>
            <w:noWrap/>
            <w:vAlign w:val="bottom"/>
          </w:tcPr>
          <w:p w:rsidR="00244426" w:rsidRDefault="00244426">
            <w:r>
              <w:t>LG Electronics</w:t>
            </w:r>
          </w:p>
        </w:tc>
        <w:tc>
          <w:tcPr>
            <w:tcW w:w="1670" w:type="dxa"/>
            <w:tcBorders>
              <w:top w:val="nil"/>
              <w:left w:val="nil"/>
              <w:bottom w:val="nil"/>
              <w:right w:val="nil"/>
            </w:tcBorders>
            <w:noWrap/>
            <w:vAlign w:val="bottom"/>
          </w:tcPr>
          <w:p w:rsidR="00244426" w:rsidRPr="00244426" w:rsidRDefault="00244426" w:rsidP="00C060C6">
            <w:pPr>
              <w:jc w:val="right"/>
              <w:rPr>
                <w:color w:val="000000"/>
              </w:rPr>
            </w:pPr>
            <w:r w:rsidRPr="00244426">
              <w:rPr>
                <w:color w:val="000000"/>
              </w:rPr>
              <w:t>13,968.8</w:t>
            </w:r>
          </w:p>
        </w:tc>
        <w:tc>
          <w:tcPr>
            <w:tcW w:w="1670" w:type="dxa"/>
            <w:tcBorders>
              <w:top w:val="nil"/>
              <w:left w:val="nil"/>
              <w:bottom w:val="nil"/>
              <w:right w:val="nil"/>
            </w:tcBorders>
            <w:noWrap/>
          </w:tcPr>
          <w:p w:rsidR="00244426" w:rsidRPr="00244426" w:rsidRDefault="00244426" w:rsidP="00C060C6">
            <w:pPr>
              <w:jc w:val="right"/>
              <w:rPr>
                <w:color w:val="000000"/>
              </w:rPr>
            </w:pPr>
            <w:r w:rsidRPr="00244426">
              <w:rPr>
                <w:color w:val="000000"/>
              </w:rPr>
              <w:t>3.3</w:t>
            </w:r>
          </w:p>
        </w:tc>
        <w:tc>
          <w:tcPr>
            <w:tcW w:w="1670" w:type="dxa"/>
            <w:tcBorders>
              <w:top w:val="nil"/>
              <w:left w:val="nil"/>
              <w:bottom w:val="nil"/>
              <w:right w:val="nil"/>
            </w:tcBorders>
            <w:noWrap/>
            <w:vAlign w:val="bottom"/>
          </w:tcPr>
          <w:p w:rsidR="00244426" w:rsidRPr="00244426" w:rsidRDefault="00244426" w:rsidP="00C060C6">
            <w:pPr>
              <w:jc w:val="right"/>
              <w:rPr>
                <w:color w:val="000000"/>
              </w:rPr>
            </w:pPr>
            <w:r w:rsidRPr="00244426">
              <w:rPr>
                <w:color w:val="000000"/>
              </w:rPr>
              <w:t>21,014.6</w:t>
            </w:r>
          </w:p>
        </w:tc>
        <w:tc>
          <w:tcPr>
            <w:tcW w:w="1670" w:type="dxa"/>
            <w:tcBorders>
              <w:top w:val="nil"/>
              <w:left w:val="nil"/>
              <w:bottom w:val="nil"/>
            </w:tcBorders>
            <w:noWrap/>
          </w:tcPr>
          <w:p w:rsidR="00244426" w:rsidRPr="00244426" w:rsidRDefault="00244426" w:rsidP="00C060C6">
            <w:pPr>
              <w:jc w:val="right"/>
              <w:rPr>
                <w:color w:val="000000"/>
              </w:rPr>
            </w:pPr>
            <w:r w:rsidRPr="00244426">
              <w:rPr>
                <w:color w:val="000000"/>
              </w:rPr>
              <w:t>4.8</w:t>
            </w:r>
          </w:p>
        </w:tc>
      </w:tr>
      <w:tr w:rsidR="00244426" w:rsidRPr="00D706EB" w:rsidTr="00C06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540" w:type="dxa"/>
            <w:tcBorders>
              <w:top w:val="nil"/>
              <w:bottom w:val="nil"/>
              <w:right w:val="nil"/>
            </w:tcBorders>
            <w:noWrap/>
            <w:vAlign w:val="bottom"/>
          </w:tcPr>
          <w:p w:rsidR="00244426" w:rsidRDefault="00244426">
            <w:r>
              <w:t>Huawei Device</w:t>
            </w:r>
          </w:p>
        </w:tc>
        <w:tc>
          <w:tcPr>
            <w:tcW w:w="1670" w:type="dxa"/>
            <w:tcBorders>
              <w:top w:val="nil"/>
              <w:left w:val="nil"/>
              <w:bottom w:val="nil"/>
              <w:right w:val="nil"/>
            </w:tcBorders>
            <w:noWrap/>
            <w:vAlign w:val="bottom"/>
          </w:tcPr>
          <w:p w:rsidR="00244426" w:rsidRPr="00244426" w:rsidRDefault="00244426" w:rsidP="00C060C6">
            <w:pPr>
              <w:jc w:val="right"/>
              <w:rPr>
                <w:color w:val="000000"/>
              </w:rPr>
            </w:pPr>
            <w:r w:rsidRPr="00244426">
              <w:rPr>
                <w:color w:val="000000"/>
              </w:rPr>
              <w:t>11,918.9</w:t>
            </w:r>
          </w:p>
        </w:tc>
        <w:tc>
          <w:tcPr>
            <w:tcW w:w="1670" w:type="dxa"/>
            <w:tcBorders>
              <w:top w:val="nil"/>
              <w:left w:val="nil"/>
              <w:bottom w:val="nil"/>
              <w:right w:val="nil"/>
            </w:tcBorders>
            <w:noWrap/>
          </w:tcPr>
          <w:p w:rsidR="00244426" w:rsidRPr="00244426" w:rsidRDefault="00244426" w:rsidP="00C060C6">
            <w:pPr>
              <w:jc w:val="right"/>
              <w:rPr>
                <w:color w:val="000000"/>
              </w:rPr>
            </w:pPr>
            <w:r w:rsidRPr="00244426">
              <w:rPr>
                <w:color w:val="000000"/>
              </w:rPr>
              <w:t>2.8</w:t>
            </w:r>
          </w:p>
        </w:tc>
        <w:tc>
          <w:tcPr>
            <w:tcW w:w="1670" w:type="dxa"/>
            <w:tcBorders>
              <w:top w:val="nil"/>
              <w:left w:val="nil"/>
              <w:bottom w:val="nil"/>
              <w:right w:val="nil"/>
            </w:tcBorders>
            <w:noWrap/>
            <w:vAlign w:val="bottom"/>
          </w:tcPr>
          <w:p w:rsidR="00244426" w:rsidRPr="00244426" w:rsidRDefault="00244426" w:rsidP="00C060C6">
            <w:pPr>
              <w:jc w:val="right"/>
              <w:rPr>
                <w:color w:val="000000"/>
              </w:rPr>
            </w:pPr>
            <w:r w:rsidRPr="00244426">
              <w:rPr>
                <w:color w:val="000000"/>
              </w:rPr>
              <w:t>10,668.2</w:t>
            </w:r>
          </w:p>
        </w:tc>
        <w:tc>
          <w:tcPr>
            <w:tcW w:w="1670" w:type="dxa"/>
            <w:tcBorders>
              <w:top w:val="nil"/>
              <w:left w:val="nil"/>
              <w:bottom w:val="nil"/>
            </w:tcBorders>
            <w:noWrap/>
          </w:tcPr>
          <w:p w:rsidR="00244426" w:rsidRPr="00244426" w:rsidRDefault="00244426" w:rsidP="00C060C6">
            <w:pPr>
              <w:jc w:val="right"/>
              <w:rPr>
                <w:color w:val="000000"/>
              </w:rPr>
            </w:pPr>
            <w:r w:rsidRPr="00244426">
              <w:rPr>
                <w:color w:val="000000"/>
              </w:rPr>
              <w:t>2.4</w:t>
            </w:r>
          </w:p>
        </w:tc>
      </w:tr>
      <w:tr w:rsidR="00244426" w:rsidRPr="00D706EB" w:rsidTr="00C06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540" w:type="dxa"/>
            <w:tcBorders>
              <w:top w:val="nil"/>
              <w:bottom w:val="nil"/>
              <w:right w:val="nil"/>
            </w:tcBorders>
            <w:noWrap/>
            <w:vAlign w:val="bottom"/>
          </w:tcPr>
          <w:p w:rsidR="00244426" w:rsidRDefault="00244426">
            <w:r>
              <w:t>TCL Communication</w:t>
            </w:r>
          </w:p>
        </w:tc>
        <w:tc>
          <w:tcPr>
            <w:tcW w:w="1670" w:type="dxa"/>
            <w:tcBorders>
              <w:top w:val="nil"/>
              <w:left w:val="nil"/>
              <w:bottom w:val="nil"/>
              <w:right w:val="nil"/>
            </w:tcBorders>
            <w:noWrap/>
            <w:vAlign w:val="bottom"/>
          </w:tcPr>
          <w:p w:rsidR="00244426" w:rsidRPr="00244426" w:rsidRDefault="00244426" w:rsidP="00C060C6">
            <w:pPr>
              <w:jc w:val="right"/>
              <w:rPr>
                <w:color w:val="000000"/>
              </w:rPr>
            </w:pPr>
            <w:r w:rsidRPr="00244426">
              <w:rPr>
                <w:color w:val="000000"/>
              </w:rPr>
              <w:t>9,326.7</w:t>
            </w:r>
          </w:p>
        </w:tc>
        <w:tc>
          <w:tcPr>
            <w:tcW w:w="1670" w:type="dxa"/>
            <w:tcBorders>
              <w:top w:val="nil"/>
              <w:left w:val="nil"/>
              <w:bottom w:val="nil"/>
              <w:right w:val="nil"/>
            </w:tcBorders>
            <w:noWrap/>
          </w:tcPr>
          <w:p w:rsidR="00244426" w:rsidRPr="00244426" w:rsidRDefault="00244426" w:rsidP="00C060C6">
            <w:pPr>
              <w:jc w:val="right"/>
              <w:rPr>
                <w:color w:val="000000"/>
              </w:rPr>
            </w:pPr>
            <w:r w:rsidRPr="00244426">
              <w:rPr>
                <w:color w:val="000000"/>
              </w:rPr>
              <w:t>2.2</w:t>
            </w:r>
          </w:p>
        </w:tc>
        <w:tc>
          <w:tcPr>
            <w:tcW w:w="1670" w:type="dxa"/>
            <w:tcBorders>
              <w:top w:val="nil"/>
              <w:left w:val="nil"/>
              <w:bottom w:val="nil"/>
              <w:right w:val="nil"/>
            </w:tcBorders>
            <w:noWrap/>
            <w:vAlign w:val="bottom"/>
          </w:tcPr>
          <w:p w:rsidR="00244426" w:rsidRPr="00244426" w:rsidRDefault="00244426" w:rsidP="00C060C6">
            <w:pPr>
              <w:jc w:val="right"/>
              <w:rPr>
                <w:color w:val="000000"/>
              </w:rPr>
            </w:pPr>
            <w:r w:rsidRPr="00244426">
              <w:rPr>
                <w:color w:val="000000"/>
              </w:rPr>
              <w:t>9,004.7</w:t>
            </w:r>
          </w:p>
        </w:tc>
        <w:tc>
          <w:tcPr>
            <w:tcW w:w="1670" w:type="dxa"/>
            <w:tcBorders>
              <w:top w:val="nil"/>
              <w:left w:val="nil"/>
              <w:bottom w:val="nil"/>
            </w:tcBorders>
            <w:noWrap/>
          </w:tcPr>
          <w:p w:rsidR="00244426" w:rsidRPr="00244426" w:rsidRDefault="00244426" w:rsidP="00C060C6">
            <w:pPr>
              <w:jc w:val="right"/>
              <w:rPr>
                <w:color w:val="000000"/>
              </w:rPr>
            </w:pPr>
            <w:r w:rsidRPr="00244426">
              <w:rPr>
                <w:color w:val="000000"/>
              </w:rPr>
              <w:t>2.0</w:t>
            </w:r>
          </w:p>
        </w:tc>
      </w:tr>
      <w:tr w:rsidR="00244426" w:rsidRPr="00D706EB" w:rsidTr="00C06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540" w:type="dxa"/>
            <w:tcBorders>
              <w:top w:val="nil"/>
              <w:bottom w:val="nil"/>
              <w:right w:val="nil"/>
            </w:tcBorders>
            <w:noWrap/>
            <w:vAlign w:val="bottom"/>
          </w:tcPr>
          <w:p w:rsidR="00244426" w:rsidRDefault="00244426">
            <w:r>
              <w:t>Research in Motion</w:t>
            </w:r>
          </w:p>
        </w:tc>
        <w:tc>
          <w:tcPr>
            <w:tcW w:w="1670" w:type="dxa"/>
            <w:tcBorders>
              <w:top w:val="nil"/>
              <w:left w:val="nil"/>
              <w:bottom w:val="nil"/>
              <w:right w:val="nil"/>
            </w:tcBorders>
            <w:noWrap/>
            <w:vAlign w:val="bottom"/>
          </w:tcPr>
          <w:p w:rsidR="00244426" w:rsidRPr="00244426" w:rsidRDefault="00244426" w:rsidP="00C060C6">
            <w:pPr>
              <w:jc w:val="right"/>
              <w:rPr>
                <w:color w:val="000000"/>
              </w:rPr>
            </w:pPr>
            <w:r w:rsidRPr="00244426">
              <w:rPr>
                <w:color w:val="000000"/>
              </w:rPr>
              <w:t>8,946.8</w:t>
            </w:r>
          </w:p>
        </w:tc>
        <w:tc>
          <w:tcPr>
            <w:tcW w:w="1670" w:type="dxa"/>
            <w:tcBorders>
              <w:top w:val="nil"/>
              <w:left w:val="nil"/>
              <w:bottom w:val="nil"/>
              <w:right w:val="nil"/>
            </w:tcBorders>
            <w:noWrap/>
          </w:tcPr>
          <w:p w:rsidR="00244426" w:rsidRPr="00244426" w:rsidRDefault="00244426" w:rsidP="00C060C6">
            <w:pPr>
              <w:jc w:val="right"/>
              <w:rPr>
                <w:color w:val="000000"/>
              </w:rPr>
            </w:pPr>
            <w:r w:rsidRPr="00244426">
              <w:rPr>
                <w:color w:val="000000"/>
              </w:rPr>
              <w:t>2.1</w:t>
            </w:r>
          </w:p>
        </w:tc>
        <w:tc>
          <w:tcPr>
            <w:tcW w:w="1670" w:type="dxa"/>
            <w:tcBorders>
              <w:top w:val="nil"/>
              <w:left w:val="nil"/>
              <w:bottom w:val="nil"/>
              <w:right w:val="nil"/>
            </w:tcBorders>
            <w:noWrap/>
            <w:vAlign w:val="bottom"/>
          </w:tcPr>
          <w:p w:rsidR="00244426" w:rsidRPr="00244426" w:rsidRDefault="00244426" w:rsidP="00C060C6">
            <w:pPr>
              <w:jc w:val="right"/>
              <w:rPr>
                <w:color w:val="000000"/>
              </w:rPr>
            </w:pPr>
            <w:r w:rsidRPr="00244426">
              <w:rPr>
                <w:color w:val="000000"/>
              </w:rPr>
              <w:t>12,701.1</w:t>
            </w:r>
          </w:p>
        </w:tc>
        <w:tc>
          <w:tcPr>
            <w:tcW w:w="1670" w:type="dxa"/>
            <w:tcBorders>
              <w:top w:val="nil"/>
              <w:left w:val="nil"/>
              <w:bottom w:val="nil"/>
            </w:tcBorders>
            <w:noWrap/>
          </w:tcPr>
          <w:p w:rsidR="00244426" w:rsidRPr="00244426" w:rsidRDefault="00244426" w:rsidP="00C060C6">
            <w:pPr>
              <w:jc w:val="right"/>
              <w:rPr>
                <w:color w:val="000000"/>
              </w:rPr>
            </w:pPr>
            <w:r w:rsidRPr="00244426">
              <w:rPr>
                <w:color w:val="000000"/>
              </w:rPr>
              <w:t>2.9</w:t>
            </w:r>
          </w:p>
        </w:tc>
      </w:tr>
      <w:tr w:rsidR="00244426" w:rsidRPr="00D706EB" w:rsidTr="00C06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540" w:type="dxa"/>
            <w:tcBorders>
              <w:top w:val="nil"/>
              <w:bottom w:val="nil"/>
              <w:right w:val="nil"/>
            </w:tcBorders>
            <w:noWrap/>
            <w:vAlign w:val="bottom"/>
          </w:tcPr>
          <w:p w:rsidR="00244426" w:rsidRDefault="00244426">
            <w:r>
              <w:t>Motorola</w:t>
            </w:r>
          </w:p>
        </w:tc>
        <w:tc>
          <w:tcPr>
            <w:tcW w:w="1670" w:type="dxa"/>
            <w:tcBorders>
              <w:top w:val="nil"/>
              <w:left w:val="nil"/>
              <w:bottom w:val="nil"/>
              <w:right w:val="nil"/>
            </w:tcBorders>
            <w:noWrap/>
            <w:vAlign w:val="bottom"/>
          </w:tcPr>
          <w:p w:rsidR="00244426" w:rsidRPr="00244426" w:rsidRDefault="00244426" w:rsidP="00C060C6">
            <w:pPr>
              <w:jc w:val="right"/>
              <w:rPr>
                <w:color w:val="000000"/>
              </w:rPr>
            </w:pPr>
            <w:r w:rsidRPr="00244426">
              <w:rPr>
                <w:color w:val="000000"/>
              </w:rPr>
              <w:t>8,562.7</w:t>
            </w:r>
          </w:p>
        </w:tc>
        <w:tc>
          <w:tcPr>
            <w:tcW w:w="1670" w:type="dxa"/>
            <w:tcBorders>
              <w:top w:val="nil"/>
              <w:left w:val="nil"/>
              <w:bottom w:val="nil"/>
              <w:right w:val="nil"/>
            </w:tcBorders>
            <w:noWrap/>
          </w:tcPr>
          <w:p w:rsidR="00244426" w:rsidRPr="00244426" w:rsidRDefault="00244426" w:rsidP="00C060C6">
            <w:pPr>
              <w:jc w:val="right"/>
              <w:rPr>
                <w:color w:val="000000"/>
              </w:rPr>
            </w:pPr>
            <w:r w:rsidRPr="00244426">
              <w:rPr>
                <w:color w:val="000000"/>
              </w:rPr>
              <w:t>2.0</w:t>
            </w:r>
          </w:p>
        </w:tc>
        <w:tc>
          <w:tcPr>
            <w:tcW w:w="1670" w:type="dxa"/>
            <w:tcBorders>
              <w:top w:val="nil"/>
              <w:left w:val="nil"/>
              <w:bottom w:val="nil"/>
              <w:right w:val="nil"/>
            </w:tcBorders>
            <w:noWrap/>
            <w:vAlign w:val="bottom"/>
          </w:tcPr>
          <w:p w:rsidR="00244426" w:rsidRPr="00244426" w:rsidRDefault="00244426" w:rsidP="00C060C6">
            <w:pPr>
              <w:jc w:val="right"/>
              <w:rPr>
                <w:color w:val="000000"/>
              </w:rPr>
            </w:pPr>
            <w:r w:rsidRPr="00244426">
              <w:rPr>
                <w:color w:val="000000"/>
              </w:rPr>
              <w:t>11,182.7</w:t>
            </w:r>
          </w:p>
        </w:tc>
        <w:tc>
          <w:tcPr>
            <w:tcW w:w="1670" w:type="dxa"/>
            <w:tcBorders>
              <w:top w:val="nil"/>
              <w:left w:val="nil"/>
              <w:bottom w:val="nil"/>
            </w:tcBorders>
            <w:noWrap/>
          </w:tcPr>
          <w:p w:rsidR="00244426" w:rsidRPr="00244426" w:rsidRDefault="00244426" w:rsidP="00C060C6">
            <w:pPr>
              <w:jc w:val="right"/>
              <w:rPr>
                <w:color w:val="000000"/>
              </w:rPr>
            </w:pPr>
            <w:r w:rsidRPr="00244426">
              <w:rPr>
                <w:color w:val="000000"/>
              </w:rPr>
              <w:t>2.5</w:t>
            </w:r>
          </w:p>
        </w:tc>
      </w:tr>
      <w:tr w:rsidR="00244426" w:rsidRPr="00D706EB" w:rsidTr="00C06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540" w:type="dxa"/>
            <w:tcBorders>
              <w:top w:val="nil"/>
              <w:bottom w:val="nil"/>
              <w:right w:val="nil"/>
            </w:tcBorders>
            <w:noWrap/>
            <w:vAlign w:val="bottom"/>
          </w:tcPr>
          <w:p w:rsidR="00244426" w:rsidRDefault="00244426">
            <w:r>
              <w:t>HTC</w:t>
            </w:r>
          </w:p>
        </w:tc>
        <w:tc>
          <w:tcPr>
            <w:tcW w:w="1670" w:type="dxa"/>
            <w:tcBorders>
              <w:top w:val="nil"/>
              <w:left w:val="nil"/>
              <w:bottom w:val="nil"/>
              <w:right w:val="nil"/>
            </w:tcBorders>
            <w:noWrap/>
            <w:vAlign w:val="bottom"/>
          </w:tcPr>
          <w:p w:rsidR="00244426" w:rsidRPr="00244426" w:rsidRDefault="00244426" w:rsidP="00C060C6">
            <w:pPr>
              <w:jc w:val="right"/>
              <w:rPr>
                <w:color w:val="000000"/>
              </w:rPr>
            </w:pPr>
            <w:r w:rsidRPr="00244426">
              <w:rPr>
                <w:color w:val="000000"/>
              </w:rPr>
              <w:t>8,428.6</w:t>
            </w:r>
          </w:p>
        </w:tc>
        <w:tc>
          <w:tcPr>
            <w:tcW w:w="1670" w:type="dxa"/>
            <w:tcBorders>
              <w:top w:val="nil"/>
              <w:left w:val="nil"/>
              <w:bottom w:val="nil"/>
              <w:right w:val="nil"/>
            </w:tcBorders>
            <w:noWrap/>
          </w:tcPr>
          <w:p w:rsidR="00244426" w:rsidRPr="00244426" w:rsidRDefault="00244426" w:rsidP="00C060C6">
            <w:pPr>
              <w:jc w:val="right"/>
              <w:rPr>
                <w:color w:val="000000"/>
              </w:rPr>
            </w:pPr>
            <w:r w:rsidRPr="00244426">
              <w:rPr>
                <w:color w:val="000000"/>
              </w:rPr>
              <w:t>2.0</w:t>
            </w:r>
          </w:p>
        </w:tc>
        <w:tc>
          <w:tcPr>
            <w:tcW w:w="1670" w:type="dxa"/>
            <w:tcBorders>
              <w:top w:val="nil"/>
              <w:left w:val="nil"/>
              <w:bottom w:val="nil"/>
              <w:right w:val="nil"/>
            </w:tcBorders>
            <w:noWrap/>
            <w:vAlign w:val="bottom"/>
          </w:tcPr>
          <w:p w:rsidR="00244426" w:rsidRPr="00244426" w:rsidRDefault="00244426" w:rsidP="00C060C6">
            <w:pPr>
              <w:jc w:val="right"/>
              <w:rPr>
                <w:color w:val="000000"/>
              </w:rPr>
            </w:pPr>
            <w:r w:rsidRPr="00244426">
              <w:rPr>
                <w:color w:val="000000"/>
              </w:rPr>
              <w:t>12,099.9</w:t>
            </w:r>
          </w:p>
        </w:tc>
        <w:tc>
          <w:tcPr>
            <w:tcW w:w="1670" w:type="dxa"/>
            <w:tcBorders>
              <w:top w:val="nil"/>
              <w:left w:val="nil"/>
              <w:bottom w:val="nil"/>
            </w:tcBorders>
            <w:noWrap/>
          </w:tcPr>
          <w:p w:rsidR="00244426" w:rsidRPr="00244426" w:rsidRDefault="00244426" w:rsidP="00C060C6">
            <w:pPr>
              <w:jc w:val="right"/>
              <w:rPr>
                <w:color w:val="000000"/>
              </w:rPr>
            </w:pPr>
            <w:r w:rsidRPr="00244426">
              <w:rPr>
                <w:color w:val="000000"/>
              </w:rPr>
              <w:t>2.7</w:t>
            </w:r>
          </w:p>
        </w:tc>
      </w:tr>
      <w:tr w:rsidR="00244426" w:rsidRPr="00D706EB" w:rsidTr="00C06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540" w:type="dxa"/>
            <w:tcBorders>
              <w:top w:val="nil"/>
              <w:bottom w:val="nil"/>
              <w:right w:val="nil"/>
            </w:tcBorders>
            <w:noWrap/>
          </w:tcPr>
          <w:p w:rsidR="00244426" w:rsidRDefault="00244426">
            <w:pPr>
              <w:rPr>
                <w:color w:val="000000"/>
              </w:rPr>
            </w:pPr>
            <w:r>
              <w:rPr>
                <w:color w:val="000000"/>
              </w:rPr>
              <w:t>Others</w:t>
            </w:r>
          </w:p>
        </w:tc>
        <w:tc>
          <w:tcPr>
            <w:tcW w:w="1670" w:type="dxa"/>
            <w:tcBorders>
              <w:top w:val="nil"/>
              <w:left w:val="nil"/>
              <w:bottom w:val="nil"/>
              <w:right w:val="nil"/>
            </w:tcBorders>
            <w:noWrap/>
            <w:vAlign w:val="bottom"/>
          </w:tcPr>
          <w:p w:rsidR="00244426" w:rsidRPr="00244426" w:rsidRDefault="00244426" w:rsidP="00C060C6">
            <w:pPr>
              <w:jc w:val="right"/>
              <w:rPr>
                <w:color w:val="000000"/>
              </w:rPr>
            </w:pPr>
            <w:r w:rsidRPr="00244426">
              <w:rPr>
                <w:color w:val="000000"/>
              </w:rPr>
              <w:t>146,115.1</w:t>
            </w:r>
          </w:p>
        </w:tc>
        <w:tc>
          <w:tcPr>
            <w:tcW w:w="1670" w:type="dxa"/>
            <w:tcBorders>
              <w:top w:val="nil"/>
              <w:left w:val="nil"/>
              <w:bottom w:val="nil"/>
              <w:right w:val="nil"/>
            </w:tcBorders>
            <w:noWrap/>
          </w:tcPr>
          <w:p w:rsidR="00244426" w:rsidRPr="00244426" w:rsidRDefault="00244426" w:rsidP="00C060C6">
            <w:pPr>
              <w:jc w:val="right"/>
              <w:rPr>
                <w:color w:val="000000"/>
              </w:rPr>
            </w:pPr>
            <w:r w:rsidRPr="00244426">
              <w:rPr>
                <w:color w:val="000000"/>
              </w:rPr>
              <w:t>34.2</w:t>
            </w:r>
          </w:p>
        </w:tc>
        <w:tc>
          <w:tcPr>
            <w:tcW w:w="1670" w:type="dxa"/>
            <w:tcBorders>
              <w:top w:val="nil"/>
              <w:left w:val="nil"/>
              <w:bottom w:val="nil"/>
              <w:right w:val="nil"/>
            </w:tcBorders>
            <w:noWrap/>
            <w:vAlign w:val="bottom"/>
          </w:tcPr>
          <w:p w:rsidR="00244426" w:rsidRPr="00244426" w:rsidRDefault="00244426" w:rsidP="00C060C6">
            <w:pPr>
              <w:jc w:val="right"/>
              <w:rPr>
                <w:color w:val="000000"/>
              </w:rPr>
            </w:pPr>
            <w:r w:rsidRPr="00244426">
              <w:rPr>
                <w:color w:val="000000"/>
              </w:rPr>
              <w:t>145,462.2</w:t>
            </w:r>
          </w:p>
        </w:tc>
        <w:tc>
          <w:tcPr>
            <w:tcW w:w="1670" w:type="dxa"/>
            <w:tcBorders>
              <w:top w:val="nil"/>
              <w:left w:val="nil"/>
              <w:bottom w:val="nil"/>
            </w:tcBorders>
            <w:noWrap/>
          </w:tcPr>
          <w:p w:rsidR="00244426" w:rsidRPr="00244426" w:rsidRDefault="00244426" w:rsidP="00C060C6">
            <w:pPr>
              <w:jc w:val="right"/>
              <w:rPr>
                <w:color w:val="000000"/>
              </w:rPr>
            </w:pPr>
            <w:r w:rsidRPr="00244426">
              <w:rPr>
                <w:color w:val="000000"/>
              </w:rPr>
              <w:t>32.9</w:t>
            </w:r>
          </w:p>
        </w:tc>
      </w:tr>
      <w:bookmarkEnd w:id="1"/>
      <w:tr w:rsidR="00244426" w:rsidRPr="00D706EB" w:rsidTr="00C06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540" w:type="dxa"/>
            <w:tcBorders>
              <w:top w:val="nil"/>
              <w:right w:val="nil"/>
            </w:tcBorders>
            <w:noWrap/>
          </w:tcPr>
          <w:p w:rsidR="00244426" w:rsidRPr="00244426" w:rsidRDefault="00244426" w:rsidP="00C060C6">
            <w:pPr>
              <w:rPr>
                <w:b/>
                <w:bCs/>
                <w:color w:val="000000"/>
              </w:rPr>
            </w:pPr>
            <w:r w:rsidRPr="00244426">
              <w:rPr>
                <w:b/>
                <w:bCs/>
                <w:color w:val="000000"/>
              </w:rPr>
              <w:t xml:space="preserve">Total </w:t>
            </w:r>
          </w:p>
        </w:tc>
        <w:tc>
          <w:tcPr>
            <w:tcW w:w="1670" w:type="dxa"/>
            <w:tcBorders>
              <w:top w:val="nil"/>
              <w:left w:val="nil"/>
              <w:right w:val="nil"/>
            </w:tcBorders>
            <w:noWrap/>
            <w:vAlign w:val="bottom"/>
          </w:tcPr>
          <w:p w:rsidR="00244426" w:rsidRPr="00244426" w:rsidRDefault="00244426" w:rsidP="00C060C6">
            <w:pPr>
              <w:jc w:val="right"/>
              <w:rPr>
                <w:b/>
                <w:bCs/>
                <w:color w:val="000000"/>
              </w:rPr>
            </w:pPr>
            <w:r w:rsidRPr="00244426">
              <w:rPr>
                <w:b/>
                <w:bCs/>
              </w:rPr>
              <w:t>427,729.5</w:t>
            </w:r>
          </w:p>
        </w:tc>
        <w:tc>
          <w:tcPr>
            <w:tcW w:w="1670" w:type="dxa"/>
            <w:tcBorders>
              <w:top w:val="nil"/>
              <w:left w:val="nil"/>
              <w:right w:val="nil"/>
            </w:tcBorders>
            <w:noWrap/>
            <w:vAlign w:val="bottom"/>
          </w:tcPr>
          <w:p w:rsidR="00244426" w:rsidRPr="00244426" w:rsidRDefault="00244426" w:rsidP="00C060C6">
            <w:pPr>
              <w:jc w:val="right"/>
              <w:rPr>
                <w:b/>
                <w:bCs/>
                <w:color w:val="000000"/>
              </w:rPr>
            </w:pPr>
            <w:r w:rsidRPr="00244426">
              <w:rPr>
                <w:b/>
                <w:bCs/>
                <w:color w:val="000000"/>
              </w:rPr>
              <w:t>100.0</w:t>
            </w:r>
          </w:p>
        </w:tc>
        <w:tc>
          <w:tcPr>
            <w:tcW w:w="1670" w:type="dxa"/>
            <w:tcBorders>
              <w:top w:val="nil"/>
              <w:left w:val="nil"/>
              <w:right w:val="nil"/>
            </w:tcBorders>
            <w:noWrap/>
            <w:vAlign w:val="bottom"/>
          </w:tcPr>
          <w:p w:rsidR="00244426" w:rsidRPr="00244426" w:rsidRDefault="00244426" w:rsidP="00C060C6">
            <w:pPr>
              <w:jc w:val="right"/>
              <w:rPr>
                <w:b/>
                <w:bCs/>
                <w:color w:val="000000"/>
              </w:rPr>
            </w:pPr>
            <w:r w:rsidRPr="00244426">
              <w:rPr>
                <w:b/>
                <w:bCs/>
              </w:rPr>
              <w:t>441,502.2</w:t>
            </w:r>
          </w:p>
        </w:tc>
        <w:tc>
          <w:tcPr>
            <w:tcW w:w="1670" w:type="dxa"/>
            <w:tcBorders>
              <w:top w:val="nil"/>
              <w:left w:val="nil"/>
            </w:tcBorders>
            <w:noWrap/>
            <w:vAlign w:val="bottom"/>
          </w:tcPr>
          <w:p w:rsidR="00244426" w:rsidRPr="00244426" w:rsidRDefault="00244426" w:rsidP="00C060C6">
            <w:pPr>
              <w:jc w:val="right"/>
              <w:rPr>
                <w:b/>
                <w:bCs/>
                <w:color w:val="000000"/>
              </w:rPr>
            </w:pPr>
            <w:r w:rsidRPr="00244426">
              <w:rPr>
                <w:b/>
                <w:bCs/>
                <w:color w:val="000000"/>
              </w:rPr>
              <w:t>100.0</w:t>
            </w:r>
          </w:p>
        </w:tc>
      </w:tr>
    </w:tbl>
    <w:bookmarkEnd w:id="2"/>
    <w:p w:rsidR="007D30D6" w:rsidRPr="00D706EB" w:rsidRDefault="007D30D6" w:rsidP="007D30D6">
      <w:pPr>
        <w:rPr>
          <w:sz w:val="18"/>
          <w:szCs w:val="18"/>
        </w:rPr>
      </w:pPr>
      <w:r w:rsidRPr="00D706EB">
        <w:rPr>
          <w:sz w:val="18"/>
          <w:szCs w:val="18"/>
        </w:rPr>
        <w:t>Source: Gartner (</w:t>
      </w:r>
      <w:r>
        <w:rPr>
          <w:sz w:val="18"/>
          <w:szCs w:val="18"/>
        </w:rPr>
        <w:t>November</w:t>
      </w:r>
      <w:r w:rsidRPr="00D706EB">
        <w:rPr>
          <w:sz w:val="18"/>
          <w:szCs w:val="18"/>
        </w:rPr>
        <w:t xml:space="preserve"> 2012)</w:t>
      </w:r>
    </w:p>
    <w:p w:rsidR="007D30D6" w:rsidRPr="00D706EB" w:rsidRDefault="007D30D6" w:rsidP="007D30D6">
      <w:pPr>
        <w:jc w:val="left"/>
        <w:rPr>
          <w:sz w:val="22"/>
          <w:szCs w:val="22"/>
        </w:rPr>
      </w:pPr>
    </w:p>
    <w:p w:rsidR="007D30D6" w:rsidRPr="008F7F05" w:rsidRDefault="007D30D6" w:rsidP="007D30D6">
      <w:pPr>
        <w:jc w:val="left"/>
        <w:rPr>
          <w:sz w:val="22"/>
          <w:szCs w:val="22"/>
        </w:rPr>
      </w:pPr>
      <w:r w:rsidRPr="008F7F05">
        <w:rPr>
          <w:rFonts w:eastAsia="SimSun"/>
          <w:sz w:val="22"/>
          <w:szCs w:val="22"/>
        </w:rPr>
        <w:t>Nokia'</w:t>
      </w:r>
      <w:r w:rsidR="00B27C94">
        <w:rPr>
          <w:rFonts w:eastAsia="SimSun"/>
          <w:sz w:val="22"/>
          <w:szCs w:val="22"/>
        </w:rPr>
        <w:t>s mobile phone sales declined 21.9</w:t>
      </w:r>
      <w:r w:rsidRPr="008F7F05">
        <w:rPr>
          <w:rFonts w:eastAsia="SimSun"/>
          <w:sz w:val="22"/>
          <w:szCs w:val="22"/>
        </w:rPr>
        <w:t xml:space="preserve"> per cent in the third</w:t>
      </w:r>
      <w:r>
        <w:rPr>
          <w:rFonts w:eastAsia="SimSun"/>
          <w:sz w:val="22"/>
          <w:szCs w:val="22"/>
        </w:rPr>
        <w:t xml:space="preserve"> quarter of 2012</w:t>
      </w:r>
      <w:r w:rsidR="00E0424D">
        <w:rPr>
          <w:rFonts w:eastAsia="SimSun"/>
          <w:sz w:val="22"/>
          <w:szCs w:val="22"/>
        </w:rPr>
        <w:t>,</w:t>
      </w:r>
      <w:r>
        <w:rPr>
          <w:rFonts w:eastAsia="SimSun"/>
          <w:sz w:val="22"/>
          <w:szCs w:val="22"/>
        </w:rPr>
        <w:t xml:space="preserve"> but </w:t>
      </w:r>
      <w:r w:rsidR="00BA168D">
        <w:rPr>
          <w:rFonts w:eastAsia="SimSun"/>
          <w:sz w:val="22"/>
          <w:szCs w:val="22"/>
        </w:rPr>
        <w:t xml:space="preserve">overall </w:t>
      </w:r>
      <w:r>
        <w:rPr>
          <w:rFonts w:eastAsia="SimSun"/>
          <w:sz w:val="22"/>
          <w:szCs w:val="22"/>
        </w:rPr>
        <w:t>sales</w:t>
      </w:r>
      <w:r w:rsidR="00BA168D">
        <w:rPr>
          <w:rFonts w:eastAsia="SimSun"/>
          <w:sz w:val="22"/>
          <w:szCs w:val="22"/>
        </w:rPr>
        <w:t xml:space="preserve"> at 82.3</w:t>
      </w:r>
      <w:r w:rsidR="008A639B">
        <w:rPr>
          <w:rFonts w:eastAsia="SimSun"/>
          <w:sz w:val="22"/>
          <w:szCs w:val="22"/>
        </w:rPr>
        <w:t xml:space="preserve"> </w:t>
      </w:r>
      <w:r w:rsidR="00BA168D">
        <w:rPr>
          <w:rFonts w:eastAsia="SimSun"/>
          <w:sz w:val="22"/>
          <w:szCs w:val="22"/>
        </w:rPr>
        <w:t>milli</w:t>
      </w:r>
      <w:r w:rsidR="002A4DFA">
        <w:rPr>
          <w:rFonts w:eastAsia="SimSun"/>
          <w:sz w:val="22"/>
          <w:szCs w:val="22"/>
        </w:rPr>
        <w:t>o</w:t>
      </w:r>
      <w:r w:rsidR="00BA168D">
        <w:rPr>
          <w:rFonts w:eastAsia="SimSun"/>
          <w:sz w:val="22"/>
          <w:szCs w:val="22"/>
        </w:rPr>
        <w:t>n</w:t>
      </w:r>
      <w:r>
        <w:rPr>
          <w:rFonts w:eastAsia="SimSun"/>
          <w:sz w:val="22"/>
          <w:szCs w:val="22"/>
        </w:rPr>
        <w:t xml:space="preserve"> were </w:t>
      </w:r>
      <w:r w:rsidR="00BA168D" w:rsidRPr="00B22562">
        <w:rPr>
          <w:rFonts w:eastAsia="SimSun"/>
          <w:sz w:val="22"/>
          <w:szCs w:val="22"/>
        </w:rPr>
        <w:t xml:space="preserve">better </w:t>
      </w:r>
      <w:r w:rsidRPr="00B22562">
        <w:rPr>
          <w:rFonts w:eastAsia="SimSun"/>
          <w:sz w:val="22"/>
          <w:szCs w:val="22"/>
        </w:rPr>
        <w:t xml:space="preserve">than </w:t>
      </w:r>
      <w:r w:rsidR="002A4DFA" w:rsidRPr="00B22562">
        <w:rPr>
          <w:rFonts w:eastAsia="SimSun"/>
          <w:sz w:val="22"/>
          <w:szCs w:val="22"/>
        </w:rPr>
        <w:t>Gartner’s</w:t>
      </w:r>
      <w:r w:rsidR="008A639B" w:rsidRPr="00B22562">
        <w:rPr>
          <w:rFonts w:eastAsia="SimSun"/>
          <w:sz w:val="22"/>
          <w:szCs w:val="22"/>
        </w:rPr>
        <w:t xml:space="preserve"> </w:t>
      </w:r>
      <w:r w:rsidR="00B055FD" w:rsidRPr="00B22562">
        <w:rPr>
          <w:rFonts w:eastAsia="SimSun"/>
          <w:sz w:val="22"/>
          <w:szCs w:val="22"/>
        </w:rPr>
        <w:t>early</w:t>
      </w:r>
      <w:r w:rsidR="00BA168D" w:rsidRPr="00B22562">
        <w:rPr>
          <w:rFonts w:eastAsia="SimSun"/>
          <w:sz w:val="22"/>
          <w:szCs w:val="22"/>
        </w:rPr>
        <w:t xml:space="preserve"> estimate</w:t>
      </w:r>
      <w:r w:rsidRPr="00B22562">
        <w:rPr>
          <w:rFonts w:eastAsia="SimSun"/>
          <w:sz w:val="22"/>
          <w:szCs w:val="22"/>
        </w:rPr>
        <w:t>, largely driven by increased sales of the Asha full touch range. Nokia had a particularly bad quarter with smartphone sales</w:t>
      </w:r>
      <w:r w:rsidR="00202097">
        <w:rPr>
          <w:rFonts w:eastAsia="SimSun"/>
          <w:sz w:val="22"/>
          <w:szCs w:val="22"/>
        </w:rPr>
        <w:t xml:space="preserve">, and it </w:t>
      </w:r>
      <w:r w:rsidRPr="00B22562">
        <w:rPr>
          <w:rFonts w:eastAsia="SimSun"/>
          <w:sz w:val="22"/>
          <w:szCs w:val="22"/>
        </w:rPr>
        <w:t>tumbl</w:t>
      </w:r>
      <w:r w:rsidR="00202097">
        <w:rPr>
          <w:rFonts w:eastAsia="SimSun"/>
          <w:sz w:val="22"/>
          <w:szCs w:val="22"/>
        </w:rPr>
        <w:t xml:space="preserve">ed </w:t>
      </w:r>
      <w:r w:rsidR="00B055FD" w:rsidRPr="00B22562">
        <w:rPr>
          <w:rFonts w:eastAsia="SimSun"/>
          <w:sz w:val="22"/>
          <w:szCs w:val="22"/>
        </w:rPr>
        <w:t>to</w:t>
      </w:r>
      <w:r w:rsidR="00B22562" w:rsidRPr="00B22562">
        <w:rPr>
          <w:rFonts w:eastAsia="SimSun"/>
          <w:sz w:val="22"/>
          <w:szCs w:val="22"/>
        </w:rPr>
        <w:t xml:space="preserve"> the</w:t>
      </w:r>
      <w:r w:rsidR="00B055FD" w:rsidRPr="00B22562">
        <w:rPr>
          <w:rFonts w:eastAsia="SimSun"/>
          <w:sz w:val="22"/>
          <w:szCs w:val="22"/>
        </w:rPr>
        <w:t xml:space="preserve"> No</w:t>
      </w:r>
      <w:r w:rsidR="00B22562" w:rsidRPr="00B22562">
        <w:rPr>
          <w:rFonts w:eastAsia="SimSun"/>
          <w:sz w:val="22"/>
          <w:szCs w:val="22"/>
        </w:rPr>
        <w:t>.</w:t>
      </w:r>
      <w:r w:rsidR="00B055FD" w:rsidRPr="00B22562">
        <w:rPr>
          <w:rFonts w:eastAsia="SimSun"/>
          <w:sz w:val="22"/>
          <w:szCs w:val="22"/>
        </w:rPr>
        <w:t xml:space="preserve"> 7 worldwide </w:t>
      </w:r>
      <w:r w:rsidR="00202097">
        <w:rPr>
          <w:rFonts w:eastAsia="SimSun"/>
          <w:sz w:val="22"/>
          <w:szCs w:val="22"/>
        </w:rPr>
        <w:t>position</w:t>
      </w:r>
      <w:r w:rsidR="00202097" w:rsidRPr="00B22562">
        <w:rPr>
          <w:rFonts w:eastAsia="SimSun"/>
          <w:sz w:val="22"/>
          <w:szCs w:val="22"/>
        </w:rPr>
        <w:t xml:space="preserve"> </w:t>
      </w:r>
      <w:r w:rsidRPr="00B22562">
        <w:rPr>
          <w:rFonts w:eastAsia="SimSun"/>
          <w:sz w:val="22"/>
          <w:szCs w:val="22"/>
        </w:rPr>
        <w:t>with 7.2</w:t>
      </w:r>
      <w:r w:rsidR="00822E77">
        <w:rPr>
          <w:rFonts w:eastAsia="SimSun"/>
          <w:sz w:val="22"/>
          <w:szCs w:val="22"/>
        </w:rPr>
        <w:t xml:space="preserve"> million</w:t>
      </w:r>
      <w:r w:rsidRPr="00B22562">
        <w:rPr>
          <w:rFonts w:eastAsia="SimSun"/>
          <w:sz w:val="22"/>
          <w:szCs w:val="22"/>
        </w:rPr>
        <w:t xml:space="preserve"> </w:t>
      </w:r>
      <w:r w:rsidR="00A60599">
        <w:rPr>
          <w:rFonts w:eastAsia="SimSun"/>
          <w:sz w:val="22"/>
          <w:szCs w:val="22"/>
        </w:rPr>
        <w:t>smartphones</w:t>
      </w:r>
      <w:r w:rsidRPr="00B22562">
        <w:rPr>
          <w:rFonts w:eastAsia="SimSun"/>
          <w:sz w:val="22"/>
          <w:szCs w:val="22"/>
        </w:rPr>
        <w:t xml:space="preserve"> sold</w:t>
      </w:r>
      <w:r w:rsidR="001C5D72" w:rsidRPr="00B22562">
        <w:rPr>
          <w:rFonts w:eastAsia="SimSun"/>
          <w:sz w:val="22"/>
          <w:szCs w:val="22"/>
        </w:rPr>
        <w:t xml:space="preserve"> </w:t>
      </w:r>
      <w:r w:rsidR="00E0424D" w:rsidRPr="00B22562">
        <w:rPr>
          <w:rFonts w:eastAsia="SimSun"/>
          <w:sz w:val="22"/>
          <w:szCs w:val="22"/>
        </w:rPr>
        <w:t xml:space="preserve">in the third </w:t>
      </w:r>
      <w:r w:rsidR="001C5D72" w:rsidRPr="00B22562">
        <w:rPr>
          <w:rFonts w:eastAsia="SimSun"/>
          <w:sz w:val="22"/>
          <w:szCs w:val="22"/>
        </w:rPr>
        <w:t>quarter</w:t>
      </w:r>
      <w:r w:rsidR="00B055FD" w:rsidRPr="00B22562">
        <w:rPr>
          <w:rFonts w:eastAsia="SimSun"/>
          <w:sz w:val="22"/>
          <w:szCs w:val="22"/>
        </w:rPr>
        <w:t xml:space="preserve">. </w:t>
      </w:r>
      <w:r w:rsidRPr="00B22562">
        <w:rPr>
          <w:sz w:val="22"/>
          <w:szCs w:val="22"/>
        </w:rPr>
        <w:t>The</w:t>
      </w:r>
      <w:r w:rsidRPr="008F7F05">
        <w:rPr>
          <w:sz w:val="22"/>
          <w:szCs w:val="22"/>
        </w:rPr>
        <w:t xml:space="preserve"> arrival of the new Lumia devices on </w:t>
      </w:r>
      <w:r w:rsidR="00E0424D">
        <w:rPr>
          <w:sz w:val="22"/>
          <w:szCs w:val="22"/>
        </w:rPr>
        <w:t xml:space="preserve">Windows </w:t>
      </w:r>
      <w:r w:rsidRPr="008F7F05">
        <w:rPr>
          <w:sz w:val="22"/>
          <w:szCs w:val="22"/>
        </w:rPr>
        <w:t>8 should help to halt the decline in share</w:t>
      </w:r>
      <w:r w:rsidR="00B055FD">
        <w:rPr>
          <w:sz w:val="22"/>
          <w:szCs w:val="22"/>
        </w:rPr>
        <w:t xml:space="preserve"> in the fourth quarter</w:t>
      </w:r>
      <w:r w:rsidR="00F14736">
        <w:rPr>
          <w:sz w:val="22"/>
          <w:szCs w:val="22"/>
        </w:rPr>
        <w:t xml:space="preserve"> of 2012</w:t>
      </w:r>
      <w:r w:rsidR="00E0424D">
        <w:rPr>
          <w:sz w:val="22"/>
          <w:szCs w:val="22"/>
        </w:rPr>
        <w:t>,</w:t>
      </w:r>
      <w:r w:rsidRPr="008F7F05">
        <w:rPr>
          <w:sz w:val="22"/>
          <w:szCs w:val="22"/>
        </w:rPr>
        <w:t xml:space="preserve"> al</w:t>
      </w:r>
      <w:r>
        <w:rPr>
          <w:sz w:val="22"/>
          <w:szCs w:val="22"/>
        </w:rPr>
        <w:t xml:space="preserve">though </w:t>
      </w:r>
      <w:r w:rsidR="00E0424D">
        <w:rPr>
          <w:sz w:val="22"/>
          <w:szCs w:val="22"/>
        </w:rPr>
        <w:t xml:space="preserve">it won’t be </w:t>
      </w:r>
      <w:r>
        <w:rPr>
          <w:sz w:val="22"/>
          <w:szCs w:val="22"/>
        </w:rPr>
        <w:t>until</w:t>
      </w:r>
      <w:r w:rsidRPr="008F7F05">
        <w:rPr>
          <w:sz w:val="22"/>
          <w:szCs w:val="22"/>
        </w:rPr>
        <w:t xml:space="preserve"> 2013 to see a significant improvement in Nokia’s position.</w:t>
      </w:r>
    </w:p>
    <w:p w:rsidR="007D30D6" w:rsidRPr="00D706EB" w:rsidRDefault="007D30D6" w:rsidP="007D30D6">
      <w:pPr>
        <w:jc w:val="left"/>
        <w:rPr>
          <w:rFonts w:eastAsia="SimSun"/>
          <w:sz w:val="22"/>
          <w:szCs w:val="22"/>
        </w:rPr>
      </w:pPr>
    </w:p>
    <w:p w:rsidR="007D30D6" w:rsidRPr="00085E67" w:rsidRDefault="008A639B" w:rsidP="007D30D6">
      <w:pPr>
        <w:jc w:val="left"/>
        <w:rPr>
          <w:sz w:val="22"/>
          <w:szCs w:val="22"/>
        </w:rPr>
      </w:pPr>
      <w:r>
        <w:rPr>
          <w:sz w:val="22"/>
          <w:szCs w:val="22"/>
        </w:rPr>
        <w:t xml:space="preserve">Apple’s sales </w:t>
      </w:r>
      <w:r w:rsidR="00B055FD">
        <w:rPr>
          <w:sz w:val="22"/>
          <w:szCs w:val="22"/>
        </w:rPr>
        <w:t xml:space="preserve">to end users </w:t>
      </w:r>
      <w:r>
        <w:rPr>
          <w:sz w:val="22"/>
          <w:szCs w:val="22"/>
        </w:rPr>
        <w:t>totalled 23.6</w:t>
      </w:r>
      <w:r w:rsidR="007D30D6" w:rsidRPr="00085E67">
        <w:rPr>
          <w:sz w:val="22"/>
          <w:szCs w:val="22"/>
        </w:rPr>
        <w:t xml:space="preserve"> million units in </w:t>
      </w:r>
      <w:r w:rsidR="00B27C94" w:rsidRPr="00085E67">
        <w:rPr>
          <w:sz w:val="22"/>
          <w:szCs w:val="22"/>
        </w:rPr>
        <w:t>the third quarter of 2012, up 36.2</w:t>
      </w:r>
      <w:r w:rsidR="007D30D6" w:rsidRPr="00085E67">
        <w:rPr>
          <w:sz w:val="22"/>
          <w:szCs w:val="22"/>
        </w:rPr>
        <w:t xml:space="preserve"> per cent year-on-year.</w:t>
      </w:r>
      <w:r w:rsidR="00085E67" w:rsidRPr="00085E67">
        <w:rPr>
          <w:sz w:val="22"/>
          <w:szCs w:val="22"/>
        </w:rPr>
        <w:t xml:space="preserve"> “We saw inventory built up into the channel as Apple prepared for the coming holiday season, global expansions and the launch into China in the fourth quarter of 2012,” said Mr Gupta.</w:t>
      </w:r>
      <w:r w:rsidR="007D30D6" w:rsidRPr="00085E67">
        <w:rPr>
          <w:sz w:val="22"/>
          <w:szCs w:val="22"/>
        </w:rPr>
        <w:t xml:space="preserve"> With iPhone 5 launching in more territories in the fourth quarter of 2012, including China, an</w:t>
      </w:r>
      <w:r w:rsidR="00A60599">
        <w:rPr>
          <w:sz w:val="22"/>
          <w:szCs w:val="22"/>
        </w:rPr>
        <w:t>d the upcoming holiday season Gartner analysts</w:t>
      </w:r>
      <w:r w:rsidR="007D30D6" w:rsidRPr="00085E67">
        <w:rPr>
          <w:sz w:val="22"/>
          <w:szCs w:val="22"/>
        </w:rPr>
        <w:t xml:space="preserve"> expect Apple will have its traditionally strongest quarter</w:t>
      </w:r>
      <w:r w:rsidR="00085E67">
        <w:rPr>
          <w:sz w:val="22"/>
          <w:szCs w:val="22"/>
        </w:rPr>
        <w:t>.</w:t>
      </w:r>
    </w:p>
    <w:p w:rsidR="007D30D6" w:rsidRDefault="007D30D6" w:rsidP="007D30D6">
      <w:pPr>
        <w:jc w:val="left"/>
        <w:rPr>
          <w:sz w:val="22"/>
          <w:szCs w:val="22"/>
        </w:rPr>
      </w:pPr>
    </w:p>
    <w:p w:rsidR="007D30D6" w:rsidRPr="00F93855" w:rsidRDefault="007D30D6" w:rsidP="007D30D6">
      <w:pPr>
        <w:jc w:val="left"/>
        <w:rPr>
          <w:sz w:val="22"/>
          <w:szCs w:val="22"/>
        </w:rPr>
      </w:pPr>
      <w:r w:rsidRPr="008A639B">
        <w:rPr>
          <w:sz w:val="22"/>
          <w:szCs w:val="22"/>
        </w:rPr>
        <w:t>In the smartphone market,</w:t>
      </w:r>
      <w:r w:rsidR="00F93855" w:rsidRPr="008A639B">
        <w:rPr>
          <w:sz w:val="22"/>
          <w:szCs w:val="22"/>
        </w:rPr>
        <w:t xml:space="preserve"> </w:t>
      </w:r>
      <w:r w:rsidR="00085E67" w:rsidRPr="008A639B">
        <w:rPr>
          <w:sz w:val="22"/>
          <w:szCs w:val="22"/>
        </w:rPr>
        <w:t>Android</w:t>
      </w:r>
      <w:r w:rsidR="00085E67" w:rsidRPr="00F93855">
        <w:rPr>
          <w:sz w:val="22"/>
          <w:szCs w:val="22"/>
        </w:rPr>
        <w:t xml:space="preserve"> continued to increase its market share, up 19.9 percentage points in the third quarter of 201</w:t>
      </w:r>
      <w:r w:rsidR="00F93855" w:rsidRPr="00F93855">
        <w:rPr>
          <w:sz w:val="22"/>
          <w:szCs w:val="22"/>
        </w:rPr>
        <w:t xml:space="preserve">2. </w:t>
      </w:r>
      <w:r w:rsidR="00F93855">
        <w:rPr>
          <w:sz w:val="22"/>
          <w:szCs w:val="22"/>
        </w:rPr>
        <w:t>Although RIM lost market share</w:t>
      </w:r>
      <w:r w:rsidR="00202097">
        <w:rPr>
          <w:sz w:val="22"/>
          <w:szCs w:val="22"/>
        </w:rPr>
        <w:t>,</w:t>
      </w:r>
      <w:r w:rsidR="00F93855">
        <w:rPr>
          <w:sz w:val="22"/>
          <w:szCs w:val="22"/>
        </w:rPr>
        <w:t xml:space="preserve"> it</w:t>
      </w:r>
      <w:r w:rsidR="00F93855" w:rsidRPr="00F93855">
        <w:rPr>
          <w:sz w:val="22"/>
          <w:szCs w:val="22"/>
        </w:rPr>
        <w:t xml:space="preserve"> climbed to </w:t>
      </w:r>
      <w:r w:rsidR="00202097">
        <w:rPr>
          <w:sz w:val="22"/>
          <w:szCs w:val="22"/>
        </w:rPr>
        <w:t xml:space="preserve">the </w:t>
      </w:r>
      <w:r w:rsidR="00F93855" w:rsidRPr="00F93855">
        <w:rPr>
          <w:sz w:val="22"/>
          <w:szCs w:val="22"/>
        </w:rPr>
        <w:t xml:space="preserve">No. 3 position </w:t>
      </w:r>
      <w:r w:rsidR="00202097">
        <w:rPr>
          <w:sz w:val="22"/>
          <w:szCs w:val="22"/>
        </w:rPr>
        <w:t>as</w:t>
      </w:r>
      <w:r w:rsidR="00BA168D">
        <w:rPr>
          <w:sz w:val="22"/>
          <w:szCs w:val="22"/>
        </w:rPr>
        <w:t xml:space="preserve"> Symbian </w:t>
      </w:r>
      <w:r w:rsidR="00202097">
        <w:rPr>
          <w:sz w:val="22"/>
          <w:szCs w:val="22"/>
        </w:rPr>
        <w:t xml:space="preserve">is </w:t>
      </w:r>
      <w:r w:rsidR="00BA168D">
        <w:rPr>
          <w:sz w:val="22"/>
          <w:szCs w:val="22"/>
        </w:rPr>
        <w:t xml:space="preserve">nearing </w:t>
      </w:r>
      <w:r w:rsidR="00202097">
        <w:rPr>
          <w:sz w:val="22"/>
          <w:szCs w:val="22"/>
        </w:rPr>
        <w:t xml:space="preserve">the </w:t>
      </w:r>
      <w:r w:rsidR="00BA168D">
        <w:rPr>
          <w:sz w:val="22"/>
          <w:szCs w:val="22"/>
        </w:rPr>
        <w:t>end of</w:t>
      </w:r>
      <w:r w:rsidR="00202097">
        <w:rPr>
          <w:sz w:val="22"/>
          <w:szCs w:val="22"/>
        </w:rPr>
        <w:t xml:space="preserve"> its</w:t>
      </w:r>
      <w:r w:rsidR="00BA168D">
        <w:rPr>
          <w:sz w:val="22"/>
          <w:szCs w:val="22"/>
        </w:rPr>
        <w:t xml:space="preserve"> lifecycle</w:t>
      </w:r>
      <w:r w:rsidR="00202097">
        <w:rPr>
          <w:sz w:val="22"/>
          <w:szCs w:val="22"/>
        </w:rPr>
        <w:t>. There was also</w:t>
      </w:r>
      <w:r w:rsidR="00BA168D">
        <w:rPr>
          <w:sz w:val="22"/>
          <w:szCs w:val="22"/>
        </w:rPr>
        <w:t xml:space="preserve"> </w:t>
      </w:r>
      <w:r w:rsidR="00F93855" w:rsidRPr="00F93855">
        <w:rPr>
          <w:sz w:val="22"/>
          <w:szCs w:val="22"/>
        </w:rPr>
        <w:t xml:space="preserve">channel destocking </w:t>
      </w:r>
      <w:r w:rsidR="00202097">
        <w:rPr>
          <w:sz w:val="22"/>
          <w:szCs w:val="22"/>
        </w:rPr>
        <w:t xml:space="preserve">in preparation of new device launches </w:t>
      </w:r>
      <w:r w:rsidR="00F93855" w:rsidRPr="00F93855">
        <w:rPr>
          <w:sz w:val="22"/>
          <w:szCs w:val="22"/>
        </w:rPr>
        <w:t xml:space="preserve">for </w:t>
      </w:r>
      <w:r w:rsidR="00BA168D">
        <w:rPr>
          <w:sz w:val="22"/>
          <w:szCs w:val="22"/>
        </w:rPr>
        <w:t>RIM</w:t>
      </w:r>
      <w:r w:rsidR="00F93855" w:rsidRPr="00F93855">
        <w:rPr>
          <w:sz w:val="22"/>
          <w:szCs w:val="22"/>
        </w:rPr>
        <w:t xml:space="preserve">, which resulted into 8.9 million sales to end users in the third quarter of 2012. </w:t>
      </w:r>
      <w:r w:rsidR="00BA168D">
        <w:rPr>
          <w:sz w:val="22"/>
          <w:szCs w:val="22"/>
        </w:rPr>
        <w:t xml:space="preserve">With the launch of iPhone 5, </w:t>
      </w:r>
      <w:r w:rsidR="002A4DFA">
        <w:rPr>
          <w:sz w:val="22"/>
          <w:szCs w:val="22"/>
        </w:rPr>
        <w:t>Gartner an</w:t>
      </w:r>
      <w:r w:rsidR="008A639B">
        <w:rPr>
          <w:sz w:val="22"/>
          <w:szCs w:val="22"/>
        </w:rPr>
        <w:t>a</w:t>
      </w:r>
      <w:r w:rsidR="002A4DFA">
        <w:rPr>
          <w:sz w:val="22"/>
          <w:szCs w:val="22"/>
        </w:rPr>
        <w:t>lysts</w:t>
      </w:r>
      <w:r w:rsidR="00B22562">
        <w:rPr>
          <w:sz w:val="22"/>
          <w:szCs w:val="22"/>
        </w:rPr>
        <w:t xml:space="preserve"> expect iOS share will</w:t>
      </w:r>
      <w:r w:rsidR="00BA168D">
        <w:rPr>
          <w:sz w:val="22"/>
          <w:szCs w:val="22"/>
        </w:rPr>
        <w:t xml:space="preserve"> grow strongly in </w:t>
      </w:r>
      <w:r w:rsidR="002A4DFA">
        <w:rPr>
          <w:sz w:val="22"/>
          <w:szCs w:val="22"/>
        </w:rPr>
        <w:t>the fourth quarter of 2012</w:t>
      </w:r>
      <w:r w:rsidR="00BA168D">
        <w:rPr>
          <w:sz w:val="22"/>
          <w:szCs w:val="22"/>
        </w:rPr>
        <w:t xml:space="preserve"> </w:t>
      </w:r>
      <w:r w:rsidR="00202097">
        <w:rPr>
          <w:sz w:val="22"/>
          <w:szCs w:val="22"/>
        </w:rPr>
        <w:t xml:space="preserve">because </w:t>
      </w:r>
      <w:r w:rsidR="00BA168D">
        <w:rPr>
          <w:sz w:val="22"/>
          <w:szCs w:val="22"/>
        </w:rPr>
        <w:t>users h</w:t>
      </w:r>
      <w:r w:rsidR="002A4DFA">
        <w:rPr>
          <w:sz w:val="22"/>
          <w:szCs w:val="22"/>
        </w:rPr>
        <w:t>eld</w:t>
      </w:r>
      <w:r w:rsidR="00BA168D">
        <w:rPr>
          <w:sz w:val="22"/>
          <w:szCs w:val="22"/>
        </w:rPr>
        <w:t xml:space="preserve"> on to their replacements in many markets </w:t>
      </w:r>
      <w:r w:rsidR="008A639B">
        <w:rPr>
          <w:sz w:val="22"/>
          <w:szCs w:val="22"/>
        </w:rPr>
        <w:t>ahead of</w:t>
      </w:r>
      <w:r w:rsidR="002A4DFA">
        <w:rPr>
          <w:sz w:val="22"/>
          <w:szCs w:val="22"/>
        </w:rPr>
        <w:t xml:space="preserve"> the</w:t>
      </w:r>
      <w:r w:rsidR="00BA168D">
        <w:rPr>
          <w:sz w:val="22"/>
          <w:szCs w:val="22"/>
        </w:rPr>
        <w:t xml:space="preserve"> iPhone 5 </w:t>
      </w:r>
      <w:r w:rsidR="00B055FD">
        <w:rPr>
          <w:sz w:val="22"/>
          <w:szCs w:val="22"/>
        </w:rPr>
        <w:t>wider roll out</w:t>
      </w:r>
      <w:bookmarkStart w:id="3" w:name="_GoBack"/>
      <w:bookmarkEnd w:id="3"/>
      <w:r w:rsidR="00BA168D">
        <w:rPr>
          <w:sz w:val="22"/>
          <w:szCs w:val="22"/>
        </w:rPr>
        <w:t>. Windows Phone</w:t>
      </w:r>
      <w:r w:rsidR="002A4DFA">
        <w:rPr>
          <w:sz w:val="22"/>
          <w:szCs w:val="22"/>
        </w:rPr>
        <w:t>’s</w:t>
      </w:r>
      <w:r w:rsidR="00BA168D">
        <w:rPr>
          <w:sz w:val="22"/>
          <w:szCs w:val="22"/>
        </w:rPr>
        <w:t xml:space="preserve"> share </w:t>
      </w:r>
      <w:r w:rsidR="002A4DFA">
        <w:rPr>
          <w:sz w:val="22"/>
          <w:szCs w:val="22"/>
        </w:rPr>
        <w:t>weakened year-on-year</w:t>
      </w:r>
      <w:r w:rsidR="00BA168D">
        <w:rPr>
          <w:sz w:val="22"/>
          <w:szCs w:val="22"/>
        </w:rPr>
        <w:t xml:space="preserve"> as </w:t>
      </w:r>
      <w:r w:rsidR="00FB1DA2">
        <w:rPr>
          <w:sz w:val="22"/>
          <w:szCs w:val="22"/>
        </w:rPr>
        <w:t xml:space="preserve">the </w:t>
      </w:r>
      <w:r w:rsidR="00BA168D">
        <w:rPr>
          <w:sz w:val="22"/>
          <w:szCs w:val="22"/>
        </w:rPr>
        <w:t>W</w:t>
      </w:r>
      <w:r w:rsidR="002A4DFA">
        <w:rPr>
          <w:sz w:val="22"/>
          <w:szCs w:val="22"/>
        </w:rPr>
        <w:t xml:space="preserve">indows </w:t>
      </w:r>
      <w:r w:rsidR="00BA168D">
        <w:rPr>
          <w:sz w:val="22"/>
          <w:szCs w:val="22"/>
        </w:rPr>
        <w:t>P</w:t>
      </w:r>
      <w:r w:rsidR="002A4DFA">
        <w:rPr>
          <w:sz w:val="22"/>
          <w:szCs w:val="22"/>
        </w:rPr>
        <w:t xml:space="preserve">hone </w:t>
      </w:r>
      <w:r w:rsidR="00BA168D">
        <w:rPr>
          <w:sz w:val="22"/>
          <w:szCs w:val="22"/>
        </w:rPr>
        <w:t>8 launch dampened demand of Windows Phone 7 devices.</w:t>
      </w:r>
    </w:p>
    <w:p w:rsidR="007D30D6" w:rsidRPr="00D706EB" w:rsidRDefault="007D30D6" w:rsidP="007D30D6">
      <w:pPr>
        <w:jc w:val="left"/>
      </w:pPr>
    </w:p>
    <w:p w:rsidR="007D30D6" w:rsidRPr="00D706EB" w:rsidRDefault="007D30D6" w:rsidP="007D30D6">
      <w:pPr>
        <w:rPr>
          <w:b/>
          <w:bCs/>
          <w:sz w:val="22"/>
          <w:szCs w:val="22"/>
        </w:rPr>
      </w:pPr>
      <w:r w:rsidRPr="00D706EB">
        <w:rPr>
          <w:b/>
          <w:bCs/>
          <w:sz w:val="22"/>
          <w:szCs w:val="22"/>
        </w:rPr>
        <w:t>Table 2</w:t>
      </w:r>
    </w:p>
    <w:p w:rsidR="007D30D6" w:rsidRPr="00D706EB" w:rsidRDefault="007D30D6" w:rsidP="007D30D6">
      <w:pPr>
        <w:rPr>
          <w:sz w:val="22"/>
          <w:szCs w:val="22"/>
        </w:rPr>
      </w:pPr>
      <w:r w:rsidRPr="00D706EB">
        <w:rPr>
          <w:b/>
          <w:bCs/>
          <w:sz w:val="22"/>
          <w:szCs w:val="22"/>
        </w:rPr>
        <w:t>Worldwide Mobile Device Sales to End Users by Operating System</w:t>
      </w:r>
      <w:r>
        <w:rPr>
          <w:b/>
          <w:bCs/>
          <w:sz w:val="22"/>
          <w:szCs w:val="22"/>
        </w:rPr>
        <w:t xml:space="preserve"> in 3</w:t>
      </w:r>
      <w:r w:rsidRPr="00D706EB">
        <w:rPr>
          <w:b/>
          <w:bCs/>
          <w:sz w:val="22"/>
          <w:szCs w:val="22"/>
        </w:rPr>
        <w:t>Q12 (Thousands of Units)</w:t>
      </w:r>
    </w:p>
    <w:tbl>
      <w:tblPr>
        <w:tblW w:w="9220" w:type="dxa"/>
        <w:tblInd w:w="-106" w:type="dxa"/>
        <w:tblLook w:val="0000"/>
      </w:tblPr>
      <w:tblGrid>
        <w:gridCol w:w="2540"/>
        <w:gridCol w:w="1670"/>
        <w:gridCol w:w="1670"/>
        <w:gridCol w:w="1670"/>
        <w:gridCol w:w="1670"/>
      </w:tblGrid>
      <w:tr w:rsidR="007D30D6" w:rsidRPr="00D706EB" w:rsidTr="00C060C6">
        <w:trPr>
          <w:trHeight w:val="438"/>
        </w:trPr>
        <w:tc>
          <w:tcPr>
            <w:tcW w:w="2540" w:type="dxa"/>
            <w:tcBorders>
              <w:top w:val="single" w:sz="4" w:space="0" w:color="auto"/>
              <w:left w:val="single" w:sz="4" w:space="0" w:color="auto"/>
              <w:bottom w:val="single" w:sz="4" w:space="0" w:color="auto"/>
            </w:tcBorders>
            <w:noWrap/>
          </w:tcPr>
          <w:p w:rsidR="007D30D6" w:rsidRPr="00D706EB" w:rsidRDefault="007D30D6" w:rsidP="00C060C6">
            <w:pPr>
              <w:jc w:val="left"/>
              <w:rPr>
                <w:b/>
                <w:bCs/>
              </w:rPr>
            </w:pPr>
            <w:r w:rsidRPr="00D706EB">
              <w:rPr>
                <w:b/>
                <w:bCs/>
              </w:rPr>
              <w:t>Operating System</w:t>
            </w:r>
          </w:p>
        </w:tc>
        <w:tc>
          <w:tcPr>
            <w:tcW w:w="1670" w:type="dxa"/>
            <w:tcBorders>
              <w:top w:val="single" w:sz="4" w:space="0" w:color="auto"/>
              <w:bottom w:val="single" w:sz="4" w:space="0" w:color="auto"/>
            </w:tcBorders>
          </w:tcPr>
          <w:p w:rsidR="007D30D6" w:rsidRPr="00D706EB" w:rsidRDefault="007D30D6" w:rsidP="00C060C6">
            <w:pPr>
              <w:jc w:val="right"/>
              <w:rPr>
                <w:b/>
                <w:bCs/>
              </w:rPr>
            </w:pPr>
            <w:r>
              <w:rPr>
                <w:b/>
                <w:bCs/>
              </w:rPr>
              <w:t>3</w:t>
            </w:r>
            <w:r w:rsidRPr="00D706EB">
              <w:rPr>
                <w:b/>
                <w:bCs/>
              </w:rPr>
              <w:t>Q12</w:t>
            </w:r>
          </w:p>
          <w:p w:rsidR="007D30D6" w:rsidRPr="00D706EB" w:rsidRDefault="007D30D6" w:rsidP="00C060C6">
            <w:pPr>
              <w:jc w:val="right"/>
              <w:rPr>
                <w:b/>
                <w:bCs/>
              </w:rPr>
            </w:pPr>
            <w:r w:rsidRPr="00D706EB">
              <w:rPr>
                <w:b/>
                <w:bCs/>
              </w:rPr>
              <w:t xml:space="preserve"> Units</w:t>
            </w:r>
          </w:p>
        </w:tc>
        <w:tc>
          <w:tcPr>
            <w:tcW w:w="1670" w:type="dxa"/>
            <w:tcBorders>
              <w:top w:val="single" w:sz="4" w:space="0" w:color="auto"/>
              <w:bottom w:val="single" w:sz="4" w:space="0" w:color="auto"/>
            </w:tcBorders>
          </w:tcPr>
          <w:p w:rsidR="007D30D6" w:rsidRPr="00D706EB" w:rsidRDefault="007D30D6" w:rsidP="00C060C6">
            <w:pPr>
              <w:jc w:val="right"/>
              <w:rPr>
                <w:b/>
                <w:bCs/>
              </w:rPr>
            </w:pPr>
            <w:r>
              <w:rPr>
                <w:b/>
                <w:bCs/>
              </w:rPr>
              <w:t>3</w:t>
            </w:r>
            <w:r w:rsidRPr="00D706EB">
              <w:rPr>
                <w:b/>
                <w:bCs/>
              </w:rPr>
              <w:t>Q12 Market Share (%)</w:t>
            </w:r>
          </w:p>
        </w:tc>
        <w:tc>
          <w:tcPr>
            <w:tcW w:w="1670" w:type="dxa"/>
            <w:tcBorders>
              <w:top w:val="single" w:sz="4" w:space="0" w:color="auto"/>
              <w:bottom w:val="single" w:sz="4" w:space="0" w:color="auto"/>
            </w:tcBorders>
          </w:tcPr>
          <w:p w:rsidR="007D30D6" w:rsidRPr="00D706EB" w:rsidRDefault="007D30D6" w:rsidP="00C060C6">
            <w:pPr>
              <w:jc w:val="right"/>
              <w:rPr>
                <w:b/>
                <w:bCs/>
              </w:rPr>
            </w:pPr>
            <w:r>
              <w:rPr>
                <w:b/>
                <w:bCs/>
              </w:rPr>
              <w:t>3</w:t>
            </w:r>
            <w:r w:rsidRPr="00D706EB">
              <w:rPr>
                <w:b/>
                <w:bCs/>
              </w:rPr>
              <w:t>Q11</w:t>
            </w:r>
          </w:p>
          <w:p w:rsidR="007D30D6" w:rsidRPr="00D706EB" w:rsidRDefault="007D30D6" w:rsidP="00C060C6">
            <w:pPr>
              <w:jc w:val="right"/>
              <w:rPr>
                <w:b/>
                <w:bCs/>
              </w:rPr>
            </w:pPr>
            <w:r w:rsidRPr="00D706EB">
              <w:rPr>
                <w:b/>
                <w:bCs/>
              </w:rPr>
              <w:t xml:space="preserve"> Units </w:t>
            </w:r>
          </w:p>
        </w:tc>
        <w:tc>
          <w:tcPr>
            <w:tcW w:w="1670" w:type="dxa"/>
            <w:tcBorders>
              <w:top w:val="single" w:sz="4" w:space="0" w:color="auto"/>
              <w:bottom w:val="single" w:sz="4" w:space="0" w:color="auto"/>
              <w:right w:val="single" w:sz="4" w:space="0" w:color="auto"/>
            </w:tcBorders>
          </w:tcPr>
          <w:p w:rsidR="007D30D6" w:rsidRPr="00D706EB" w:rsidRDefault="007D30D6" w:rsidP="00C060C6">
            <w:pPr>
              <w:jc w:val="right"/>
              <w:rPr>
                <w:b/>
                <w:bCs/>
              </w:rPr>
            </w:pPr>
            <w:r>
              <w:rPr>
                <w:b/>
                <w:bCs/>
              </w:rPr>
              <w:t>3</w:t>
            </w:r>
            <w:r w:rsidRPr="00D706EB">
              <w:rPr>
                <w:b/>
                <w:bCs/>
              </w:rPr>
              <w:t>Q11 Market Share (%)</w:t>
            </w:r>
          </w:p>
        </w:tc>
      </w:tr>
      <w:tr w:rsidR="00244426" w:rsidRPr="00D706EB" w:rsidTr="00C060C6">
        <w:trPr>
          <w:trHeight w:val="220"/>
        </w:trPr>
        <w:tc>
          <w:tcPr>
            <w:tcW w:w="2540" w:type="dxa"/>
            <w:tcBorders>
              <w:top w:val="single" w:sz="4" w:space="0" w:color="auto"/>
              <w:left w:val="single" w:sz="4" w:space="0" w:color="auto"/>
            </w:tcBorders>
            <w:noWrap/>
            <w:vAlign w:val="bottom"/>
          </w:tcPr>
          <w:p w:rsidR="00244426" w:rsidRDefault="00244426">
            <w:r>
              <w:t>Android</w:t>
            </w:r>
          </w:p>
        </w:tc>
        <w:tc>
          <w:tcPr>
            <w:tcW w:w="1670" w:type="dxa"/>
            <w:tcBorders>
              <w:top w:val="single" w:sz="4" w:space="0" w:color="auto"/>
            </w:tcBorders>
            <w:noWrap/>
            <w:vAlign w:val="bottom"/>
          </w:tcPr>
          <w:p w:rsidR="00244426" w:rsidRPr="00244426" w:rsidRDefault="00244426" w:rsidP="00C060C6">
            <w:pPr>
              <w:jc w:val="right"/>
            </w:pPr>
            <w:r w:rsidRPr="00244426">
              <w:rPr>
                <w:color w:val="000000"/>
              </w:rPr>
              <w:t>122,480.0</w:t>
            </w:r>
          </w:p>
        </w:tc>
        <w:tc>
          <w:tcPr>
            <w:tcW w:w="1670" w:type="dxa"/>
            <w:tcBorders>
              <w:top w:val="single" w:sz="4" w:space="0" w:color="auto"/>
            </w:tcBorders>
            <w:noWrap/>
          </w:tcPr>
          <w:p w:rsidR="00244426" w:rsidRPr="00244426" w:rsidRDefault="00244426" w:rsidP="00C060C6">
            <w:pPr>
              <w:jc w:val="right"/>
              <w:rPr>
                <w:color w:val="000000"/>
              </w:rPr>
            </w:pPr>
            <w:r w:rsidRPr="00244426">
              <w:rPr>
                <w:color w:val="000000"/>
              </w:rPr>
              <w:t>72.4</w:t>
            </w:r>
          </w:p>
        </w:tc>
        <w:tc>
          <w:tcPr>
            <w:tcW w:w="1670" w:type="dxa"/>
            <w:noWrap/>
            <w:vAlign w:val="bottom"/>
          </w:tcPr>
          <w:p w:rsidR="00244426" w:rsidRPr="00244426" w:rsidRDefault="00244426" w:rsidP="00C060C6">
            <w:pPr>
              <w:jc w:val="right"/>
            </w:pPr>
            <w:r w:rsidRPr="00244426">
              <w:rPr>
                <w:color w:val="000000"/>
              </w:rPr>
              <w:t>60,490.4</w:t>
            </w:r>
          </w:p>
        </w:tc>
        <w:tc>
          <w:tcPr>
            <w:tcW w:w="1670" w:type="dxa"/>
            <w:tcBorders>
              <w:top w:val="single" w:sz="4" w:space="0" w:color="auto"/>
              <w:right w:val="single" w:sz="4" w:space="0" w:color="auto"/>
            </w:tcBorders>
            <w:noWrap/>
          </w:tcPr>
          <w:p w:rsidR="00244426" w:rsidRPr="00244426" w:rsidRDefault="00244426" w:rsidP="00C060C6">
            <w:pPr>
              <w:jc w:val="right"/>
              <w:rPr>
                <w:color w:val="000000"/>
              </w:rPr>
            </w:pPr>
            <w:r w:rsidRPr="00244426">
              <w:rPr>
                <w:color w:val="000000"/>
              </w:rPr>
              <w:t>52.5</w:t>
            </w:r>
          </w:p>
        </w:tc>
      </w:tr>
      <w:tr w:rsidR="00244426" w:rsidRPr="00D706EB" w:rsidTr="00C060C6">
        <w:tblPrEx>
          <w:tblBorders>
            <w:top w:val="single" w:sz="4" w:space="0" w:color="auto"/>
            <w:left w:val="single" w:sz="4" w:space="0" w:color="auto"/>
            <w:bottom w:val="single" w:sz="4" w:space="0" w:color="auto"/>
            <w:right w:val="single" w:sz="4" w:space="0" w:color="auto"/>
          </w:tblBorders>
        </w:tblPrEx>
        <w:trPr>
          <w:trHeight w:val="266"/>
        </w:trPr>
        <w:tc>
          <w:tcPr>
            <w:tcW w:w="2540" w:type="dxa"/>
            <w:tcBorders>
              <w:top w:val="nil"/>
              <w:bottom w:val="nil"/>
            </w:tcBorders>
            <w:noWrap/>
            <w:vAlign w:val="bottom"/>
          </w:tcPr>
          <w:p w:rsidR="00244426" w:rsidRDefault="00244426">
            <w:r>
              <w:t>iOS</w:t>
            </w:r>
          </w:p>
        </w:tc>
        <w:tc>
          <w:tcPr>
            <w:tcW w:w="1670" w:type="dxa"/>
            <w:tcBorders>
              <w:top w:val="nil"/>
              <w:bottom w:val="nil"/>
            </w:tcBorders>
            <w:noWrap/>
            <w:vAlign w:val="bottom"/>
          </w:tcPr>
          <w:p w:rsidR="00244426" w:rsidRPr="00244426" w:rsidRDefault="00244426" w:rsidP="00C060C6">
            <w:pPr>
              <w:jc w:val="right"/>
            </w:pPr>
            <w:r w:rsidRPr="00244426">
              <w:rPr>
                <w:color w:val="000000"/>
              </w:rPr>
              <w:t>23,550.3</w:t>
            </w:r>
          </w:p>
        </w:tc>
        <w:tc>
          <w:tcPr>
            <w:tcW w:w="1670" w:type="dxa"/>
            <w:tcBorders>
              <w:top w:val="nil"/>
              <w:bottom w:val="nil"/>
            </w:tcBorders>
            <w:noWrap/>
          </w:tcPr>
          <w:p w:rsidR="00244426" w:rsidRPr="00244426" w:rsidRDefault="00244426" w:rsidP="00C060C6">
            <w:pPr>
              <w:jc w:val="right"/>
              <w:rPr>
                <w:color w:val="000000"/>
              </w:rPr>
            </w:pPr>
            <w:r w:rsidRPr="00244426">
              <w:rPr>
                <w:color w:val="000000"/>
              </w:rPr>
              <w:t>13.9</w:t>
            </w:r>
          </w:p>
        </w:tc>
        <w:tc>
          <w:tcPr>
            <w:tcW w:w="1670" w:type="dxa"/>
            <w:noWrap/>
            <w:vAlign w:val="bottom"/>
          </w:tcPr>
          <w:p w:rsidR="00244426" w:rsidRPr="00244426" w:rsidRDefault="00244426" w:rsidP="00C060C6">
            <w:pPr>
              <w:jc w:val="right"/>
            </w:pPr>
            <w:r w:rsidRPr="00244426">
              <w:rPr>
                <w:color w:val="000000"/>
              </w:rPr>
              <w:t>17,295.3</w:t>
            </w:r>
          </w:p>
        </w:tc>
        <w:tc>
          <w:tcPr>
            <w:tcW w:w="1670" w:type="dxa"/>
            <w:tcBorders>
              <w:top w:val="nil"/>
              <w:bottom w:val="nil"/>
            </w:tcBorders>
            <w:noWrap/>
          </w:tcPr>
          <w:p w:rsidR="00244426" w:rsidRPr="00244426" w:rsidRDefault="00244426" w:rsidP="00C060C6">
            <w:pPr>
              <w:jc w:val="right"/>
              <w:rPr>
                <w:color w:val="000000"/>
              </w:rPr>
            </w:pPr>
            <w:r w:rsidRPr="00244426">
              <w:rPr>
                <w:color w:val="000000"/>
              </w:rPr>
              <w:t>15.0</w:t>
            </w:r>
          </w:p>
        </w:tc>
      </w:tr>
      <w:tr w:rsidR="00244426" w:rsidRPr="00D706EB" w:rsidTr="00C060C6">
        <w:tblPrEx>
          <w:tblBorders>
            <w:top w:val="single" w:sz="4" w:space="0" w:color="auto"/>
            <w:left w:val="single" w:sz="4" w:space="0" w:color="auto"/>
            <w:bottom w:val="single" w:sz="4" w:space="0" w:color="auto"/>
            <w:right w:val="single" w:sz="4" w:space="0" w:color="auto"/>
          </w:tblBorders>
        </w:tblPrEx>
        <w:trPr>
          <w:trHeight w:val="220"/>
        </w:trPr>
        <w:tc>
          <w:tcPr>
            <w:tcW w:w="2540" w:type="dxa"/>
            <w:tcBorders>
              <w:top w:val="nil"/>
              <w:bottom w:val="nil"/>
            </w:tcBorders>
            <w:noWrap/>
            <w:vAlign w:val="bottom"/>
          </w:tcPr>
          <w:p w:rsidR="00244426" w:rsidRDefault="00244426">
            <w:r>
              <w:t>Research In Motion</w:t>
            </w:r>
          </w:p>
        </w:tc>
        <w:tc>
          <w:tcPr>
            <w:tcW w:w="1670" w:type="dxa"/>
            <w:tcBorders>
              <w:top w:val="nil"/>
              <w:bottom w:val="nil"/>
            </w:tcBorders>
            <w:noWrap/>
            <w:vAlign w:val="bottom"/>
          </w:tcPr>
          <w:p w:rsidR="00244426" w:rsidRPr="00244426" w:rsidRDefault="00244426" w:rsidP="00C060C6">
            <w:pPr>
              <w:jc w:val="right"/>
            </w:pPr>
            <w:r w:rsidRPr="00244426">
              <w:rPr>
                <w:color w:val="000000"/>
              </w:rPr>
              <w:t>8,946.8</w:t>
            </w:r>
          </w:p>
        </w:tc>
        <w:tc>
          <w:tcPr>
            <w:tcW w:w="1670" w:type="dxa"/>
            <w:tcBorders>
              <w:top w:val="nil"/>
              <w:bottom w:val="nil"/>
            </w:tcBorders>
            <w:noWrap/>
          </w:tcPr>
          <w:p w:rsidR="00244426" w:rsidRPr="00244426" w:rsidRDefault="00244426" w:rsidP="00C060C6">
            <w:pPr>
              <w:jc w:val="right"/>
              <w:rPr>
                <w:color w:val="000000"/>
              </w:rPr>
            </w:pPr>
            <w:r w:rsidRPr="00244426">
              <w:rPr>
                <w:color w:val="000000"/>
              </w:rPr>
              <w:t>5.3</w:t>
            </w:r>
          </w:p>
        </w:tc>
        <w:tc>
          <w:tcPr>
            <w:tcW w:w="1670" w:type="dxa"/>
            <w:noWrap/>
            <w:vAlign w:val="bottom"/>
          </w:tcPr>
          <w:p w:rsidR="00244426" w:rsidRPr="00244426" w:rsidRDefault="00244426" w:rsidP="00C060C6">
            <w:pPr>
              <w:jc w:val="right"/>
            </w:pPr>
            <w:r w:rsidRPr="00244426">
              <w:rPr>
                <w:color w:val="000000"/>
              </w:rPr>
              <w:t>12,701.1</w:t>
            </w:r>
          </w:p>
        </w:tc>
        <w:tc>
          <w:tcPr>
            <w:tcW w:w="1670" w:type="dxa"/>
            <w:tcBorders>
              <w:top w:val="nil"/>
            </w:tcBorders>
            <w:noWrap/>
          </w:tcPr>
          <w:p w:rsidR="00244426" w:rsidRPr="00244426" w:rsidRDefault="00244426" w:rsidP="00C060C6">
            <w:pPr>
              <w:jc w:val="right"/>
              <w:rPr>
                <w:color w:val="000000"/>
              </w:rPr>
            </w:pPr>
            <w:r w:rsidRPr="00244426">
              <w:rPr>
                <w:color w:val="000000"/>
              </w:rPr>
              <w:t>11.0</w:t>
            </w:r>
          </w:p>
        </w:tc>
      </w:tr>
      <w:tr w:rsidR="00244426" w:rsidRPr="00D706EB" w:rsidTr="00C060C6">
        <w:tblPrEx>
          <w:tblBorders>
            <w:top w:val="single" w:sz="4" w:space="0" w:color="auto"/>
            <w:left w:val="single" w:sz="4" w:space="0" w:color="auto"/>
            <w:bottom w:val="single" w:sz="4" w:space="0" w:color="auto"/>
            <w:right w:val="single" w:sz="4" w:space="0" w:color="auto"/>
          </w:tblBorders>
        </w:tblPrEx>
        <w:trPr>
          <w:trHeight w:val="220"/>
        </w:trPr>
        <w:tc>
          <w:tcPr>
            <w:tcW w:w="2540" w:type="dxa"/>
            <w:tcBorders>
              <w:top w:val="nil"/>
            </w:tcBorders>
            <w:noWrap/>
            <w:vAlign w:val="bottom"/>
          </w:tcPr>
          <w:p w:rsidR="00244426" w:rsidRDefault="00244426">
            <w:r>
              <w:t>Bada</w:t>
            </w:r>
          </w:p>
        </w:tc>
        <w:tc>
          <w:tcPr>
            <w:tcW w:w="1670" w:type="dxa"/>
            <w:tcBorders>
              <w:top w:val="nil"/>
            </w:tcBorders>
            <w:noWrap/>
            <w:vAlign w:val="bottom"/>
          </w:tcPr>
          <w:p w:rsidR="00244426" w:rsidRPr="00244426" w:rsidRDefault="00244426" w:rsidP="00C060C6">
            <w:pPr>
              <w:jc w:val="right"/>
            </w:pPr>
            <w:r w:rsidRPr="00244426">
              <w:rPr>
                <w:color w:val="000000"/>
              </w:rPr>
              <w:t>5,054.7</w:t>
            </w:r>
          </w:p>
        </w:tc>
        <w:tc>
          <w:tcPr>
            <w:tcW w:w="1670" w:type="dxa"/>
            <w:tcBorders>
              <w:top w:val="nil"/>
            </w:tcBorders>
            <w:noWrap/>
          </w:tcPr>
          <w:p w:rsidR="00244426" w:rsidRPr="00244426" w:rsidRDefault="00244426" w:rsidP="00C060C6">
            <w:pPr>
              <w:jc w:val="right"/>
              <w:rPr>
                <w:color w:val="000000"/>
              </w:rPr>
            </w:pPr>
            <w:r w:rsidRPr="00244426">
              <w:rPr>
                <w:color w:val="000000"/>
              </w:rPr>
              <w:t>3.0</w:t>
            </w:r>
          </w:p>
        </w:tc>
        <w:tc>
          <w:tcPr>
            <w:tcW w:w="1670" w:type="dxa"/>
            <w:noWrap/>
            <w:vAlign w:val="bottom"/>
          </w:tcPr>
          <w:p w:rsidR="00244426" w:rsidRPr="00244426" w:rsidRDefault="00244426" w:rsidP="00C060C6">
            <w:pPr>
              <w:jc w:val="right"/>
            </w:pPr>
            <w:r w:rsidRPr="00244426">
              <w:rPr>
                <w:color w:val="000000"/>
              </w:rPr>
              <w:t>2,478.5</w:t>
            </w:r>
          </w:p>
        </w:tc>
        <w:tc>
          <w:tcPr>
            <w:tcW w:w="1670" w:type="dxa"/>
            <w:noWrap/>
          </w:tcPr>
          <w:p w:rsidR="00244426" w:rsidRPr="00244426" w:rsidRDefault="00244426" w:rsidP="00C060C6">
            <w:pPr>
              <w:jc w:val="right"/>
              <w:rPr>
                <w:color w:val="000000"/>
              </w:rPr>
            </w:pPr>
            <w:r w:rsidRPr="00244426">
              <w:rPr>
                <w:color w:val="000000"/>
              </w:rPr>
              <w:t>2.2</w:t>
            </w:r>
          </w:p>
        </w:tc>
      </w:tr>
      <w:tr w:rsidR="00244426" w:rsidRPr="00D706EB" w:rsidTr="00C060C6">
        <w:tblPrEx>
          <w:tblBorders>
            <w:top w:val="single" w:sz="4" w:space="0" w:color="auto"/>
            <w:left w:val="single" w:sz="4" w:space="0" w:color="auto"/>
            <w:bottom w:val="single" w:sz="4" w:space="0" w:color="auto"/>
            <w:right w:val="single" w:sz="4" w:space="0" w:color="auto"/>
          </w:tblBorders>
        </w:tblPrEx>
        <w:trPr>
          <w:trHeight w:val="220"/>
        </w:trPr>
        <w:tc>
          <w:tcPr>
            <w:tcW w:w="2540" w:type="dxa"/>
            <w:noWrap/>
            <w:vAlign w:val="bottom"/>
          </w:tcPr>
          <w:p w:rsidR="00244426" w:rsidRDefault="00244426">
            <w:r>
              <w:t>Symbian</w:t>
            </w:r>
          </w:p>
        </w:tc>
        <w:tc>
          <w:tcPr>
            <w:tcW w:w="1670" w:type="dxa"/>
            <w:noWrap/>
            <w:vAlign w:val="bottom"/>
          </w:tcPr>
          <w:p w:rsidR="00244426" w:rsidRPr="00244426" w:rsidRDefault="00244426" w:rsidP="00C060C6">
            <w:pPr>
              <w:jc w:val="right"/>
            </w:pPr>
            <w:r w:rsidRPr="00244426">
              <w:rPr>
                <w:color w:val="000000"/>
              </w:rPr>
              <w:t>4,404.9</w:t>
            </w:r>
          </w:p>
        </w:tc>
        <w:tc>
          <w:tcPr>
            <w:tcW w:w="1670" w:type="dxa"/>
            <w:noWrap/>
          </w:tcPr>
          <w:p w:rsidR="00244426" w:rsidRPr="00244426" w:rsidRDefault="00244426" w:rsidP="00C060C6">
            <w:pPr>
              <w:jc w:val="right"/>
              <w:rPr>
                <w:color w:val="000000"/>
              </w:rPr>
            </w:pPr>
            <w:r w:rsidRPr="00244426">
              <w:rPr>
                <w:color w:val="000000"/>
              </w:rPr>
              <w:t>2.6</w:t>
            </w:r>
          </w:p>
        </w:tc>
        <w:tc>
          <w:tcPr>
            <w:tcW w:w="1670" w:type="dxa"/>
            <w:noWrap/>
            <w:vAlign w:val="bottom"/>
          </w:tcPr>
          <w:p w:rsidR="00244426" w:rsidRPr="00244426" w:rsidRDefault="00244426" w:rsidP="00C060C6">
            <w:pPr>
              <w:jc w:val="right"/>
            </w:pPr>
            <w:r w:rsidRPr="00244426">
              <w:rPr>
                <w:color w:val="000000"/>
              </w:rPr>
              <w:t>19,500.1</w:t>
            </w:r>
          </w:p>
        </w:tc>
        <w:tc>
          <w:tcPr>
            <w:tcW w:w="1670" w:type="dxa"/>
            <w:noWrap/>
          </w:tcPr>
          <w:p w:rsidR="00244426" w:rsidRPr="00244426" w:rsidRDefault="00244426" w:rsidP="00C060C6">
            <w:pPr>
              <w:jc w:val="right"/>
              <w:rPr>
                <w:color w:val="000000"/>
              </w:rPr>
            </w:pPr>
            <w:r w:rsidRPr="00244426">
              <w:rPr>
                <w:color w:val="000000"/>
              </w:rPr>
              <w:t>16.9</w:t>
            </w:r>
          </w:p>
        </w:tc>
      </w:tr>
      <w:tr w:rsidR="00244426" w:rsidRPr="00D706EB" w:rsidTr="00C060C6">
        <w:tblPrEx>
          <w:tblBorders>
            <w:top w:val="single" w:sz="4" w:space="0" w:color="auto"/>
            <w:left w:val="single" w:sz="4" w:space="0" w:color="auto"/>
            <w:bottom w:val="single" w:sz="4" w:space="0" w:color="auto"/>
            <w:right w:val="single" w:sz="4" w:space="0" w:color="auto"/>
          </w:tblBorders>
        </w:tblPrEx>
        <w:trPr>
          <w:trHeight w:val="220"/>
        </w:trPr>
        <w:tc>
          <w:tcPr>
            <w:tcW w:w="2540" w:type="dxa"/>
            <w:noWrap/>
            <w:vAlign w:val="bottom"/>
          </w:tcPr>
          <w:p w:rsidR="00244426" w:rsidRDefault="00244426">
            <w:r>
              <w:t>Microsoft</w:t>
            </w:r>
          </w:p>
        </w:tc>
        <w:tc>
          <w:tcPr>
            <w:tcW w:w="1670" w:type="dxa"/>
            <w:noWrap/>
            <w:vAlign w:val="bottom"/>
          </w:tcPr>
          <w:p w:rsidR="00244426" w:rsidRPr="00244426" w:rsidRDefault="00244426" w:rsidP="00C060C6">
            <w:pPr>
              <w:jc w:val="right"/>
            </w:pPr>
            <w:r w:rsidRPr="00244426">
              <w:rPr>
                <w:color w:val="000000"/>
              </w:rPr>
              <w:t>4,058.2</w:t>
            </w:r>
          </w:p>
        </w:tc>
        <w:tc>
          <w:tcPr>
            <w:tcW w:w="1670" w:type="dxa"/>
            <w:noWrap/>
          </w:tcPr>
          <w:p w:rsidR="00244426" w:rsidRPr="00244426" w:rsidRDefault="00244426" w:rsidP="00C060C6">
            <w:pPr>
              <w:jc w:val="right"/>
              <w:rPr>
                <w:color w:val="000000"/>
              </w:rPr>
            </w:pPr>
            <w:r w:rsidRPr="00244426">
              <w:rPr>
                <w:color w:val="000000"/>
              </w:rPr>
              <w:t>2.4</w:t>
            </w:r>
          </w:p>
        </w:tc>
        <w:tc>
          <w:tcPr>
            <w:tcW w:w="1670" w:type="dxa"/>
            <w:noWrap/>
            <w:vAlign w:val="bottom"/>
          </w:tcPr>
          <w:p w:rsidR="00244426" w:rsidRPr="00244426" w:rsidRDefault="00244426" w:rsidP="00C060C6">
            <w:pPr>
              <w:jc w:val="right"/>
            </w:pPr>
            <w:r w:rsidRPr="00244426">
              <w:rPr>
                <w:color w:val="000000"/>
              </w:rPr>
              <w:t>1,701.9</w:t>
            </w:r>
          </w:p>
        </w:tc>
        <w:tc>
          <w:tcPr>
            <w:tcW w:w="1670" w:type="dxa"/>
            <w:noWrap/>
          </w:tcPr>
          <w:p w:rsidR="00244426" w:rsidRPr="00244426" w:rsidRDefault="00244426" w:rsidP="00C060C6">
            <w:pPr>
              <w:jc w:val="right"/>
              <w:rPr>
                <w:color w:val="000000"/>
              </w:rPr>
            </w:pPr>
            <w:r w:rsidRPr="00244426">
              <w:rPr>
                <w:color w:val="000000"/>
              </w:rPr>
              <w:t>1.5</w:t>
            </w:r>
          </w:p>
        </w:tc>
      </w:tr>
      <w:tr w:rsidR="00244426" w:rsidRPr="00D706EB" w:rsidTr="00C060C6">
        <w:tblPrEx>
          <w:tblBorders>
            <w:top w:val="single" w:sz="4" w:space="0" w:color="auto"/>
            <w:left w:val="single" w:sz="4" w:space="0" w:color="auto"/>
            <w:bottom w:val="single" w:sz="4" w:space="0" w:color="auto"/>
            <w:right w:val="single" w:sz="4" w:space="0" w:color="auto"/>
          </w:tblBorders>
        </w:tblPrEx>
        <w:trPr>
          <w:trHeight w:val="220"/>
        </w:trPr>
        <w:tc>
          <w:tcPr>
            <w:tcW w:w="2540" w:type="dxa"/>
            <w:noWrap/>
          </w:tcPr>
          <w:p w:rsidR="00244426" w:rsidRDefault="00244426">
            <w:pPr>
              <w:rPr>
                <w:color w:val="000000"/>
              </w:rPr>
            </w:pPr>
            <w:r>
              <w:rPr>
                <w:color w:val="000000"/>
              </w:rPr>
              <w:t>Others</w:t>
            </w:r>
          </w:p>
        </w:tc>
        <w:tc>
          <w:tcPr>
            <w:tcW w:w="1670" w:type="dxa"/>
            <w:noWrap/>
          </w:tcPr>
          <w:p w:rsidR="00244426" w:rsidRPr="00244426" w:rsidRDefault="00244426" w:rsidP="00C060C6">
            <w:pPr>
              <w:jc w:val="right"/>
              <w:rPr>
                <w:color w:val="000000"/>
              </w:rPr>
            </w:pPr>
            <w:r w:rsidRPr="00244426">
              <w:rPr>
                <w:color w:val="000000"/>
              </w:rPr>
              <w:t>683.7</w:t>
            </w:r>
          </w:p>
        </w:tc>
        <w:tc>
          <w:tcPr>
            <w:tcW w:w="1670" w:type="dxa"/>
            <w:noWrap/>
          </w:tcPr>
          <w:p w:rsidR="00244426" w:rsidRPr="00244426" w:rsidRDefault="00244426" w:rsidP="00C060C6">
            <w:pPr>
              <w:jc w:val="right"/>
              <w:rPr>
                <w:color w:val="000000"/>
              </w:rPr>
            </w:pPr>
            <w:r w:rsidRPr="00244426">
              <w:rPr>
                <w:color w:val="000000"/>
              </w:rPr>
              <w:t>0.4</w:t>
            </w:r>
          </w:p>
        </w:tc>
        <w:tc>
          <w:tcPr>
            <w:tcW w:w="1670" w:type="dxa"/>
            <w:noWrap/>
            <w:vAlign w:val="bottom"/>
          </w:tcPr>
          <w:p w:rsidR="00244426" w:rsidRPr="00244426" w:rsidRDefault="00244426" w:rsidP="00C060C6">
            <w:pPr>
              <w:jc w:val="right"/>
              <w:rPr>
                <w:color w:val="000000"/>
              </w:rPr>
            </w:pPr>
            <w:r w:rsidRPr="00244426">
              <w:rPr>
                <w:color w:val="000000"/>
              </w:rPr>
              <w:t>1,018.1</w:t>
            </w:r>
          </w:p>
        </w:tc>
        <w:tc>
          <w:tcPr>
            <w:tcW w:w="1670" w:type="dxa"/>
            <w:noWrap/>
          </w:tcPr>
          <w:p w:rsidR="00244426" w:rsidRPr="00244426" w:rsidRDefault="00244426" w:rsidP="00C060C6">
            <w:pPr>
              <w:jc w:val="right"/>
              <w:rPr>
                <w:color w:val="000000"/>
              </w:rPr>
            </w:pPr>
            <w:r w:rsidRPr="00244426">
              <w:rPr>
                <w:color w:val="000000"/>
              </w:rPr>
              <w:t>0.9</w:t>
            </w:r>
          </w:p>
        </w:tc>
      </w:tr>
      <w:tr w:rsidR="00244426" w:rsidRPr="00D706EB" w:rsidTr="00C060C6">
        <w:tblPrEx>
          <w:tblBorders>
            <w:top w:val="single" w:sz="4" w:space="0" w:color="auto"/>
            <w:left w:val="single" w:sz="4" w:space="0" w:color="auto"/>
            <w:bottom w:val="single" w:sz="4" w:space="0" w:color="auto"/>
            <w:right w:val="single" w:sz="4" w:space="0" w:color="auto"/>
          </w:tblBorders>
        </w:tblPrEx>
        <w:trPr>
          <w:trHeight w:val="240"/>
        </w:trPr>
        <w:tc>
          <w:tcPr>
            <w:tcW w:w="2540" w:type="dxa"/>
            <w:tcBorders>
              <w:bottom w:val="single" w:sz="4" w:space="0" w:color="auto"/>
            </w:tcBorders>
            <w:noWrap/>
          </w:tcPr>
          <w:p w:rsidR="00244426" w:rsidRPr="00244426" w:rsidRDefault="00244426" w:rsidP="00C060C6">
            <w:pPr>
              <w:rPr>
                <w:b/>
                <w:bCs/>
                <w:color w:val="000000"/>
              </w:rPr>
            </w:pPr>
            <w:r w:rsidRPr="00244426">
              <w:rPr>
                <w:b/>
                <w:bCs/>
                <w:color w:val="000000"/>
              </w:rPr>
              <w:t>Total</w:t>
            </w:r>
          </w:p>
        </w:tc>
        <w:tc>
          <w:tcPr>
            <w:tcW w:w="1670" w:type="dxa"/>
            <w:tcBorders>
              <w:bottom w:val="single" w:sz="4" w:space="0" w:color="auto"/>
            </w:tcBorders>
            <w:noWrap/>
            <w:vAlign w:val="bottom"/>
          </w:tcPr>
          <w:p w:rsidR="00244426" w:rsidRPr="00244426" w:rsidRDefault="00244426" w:rsidP="00C060C6">
            <w:pPr>
              <w:jc w:val="right"/>
              <w:rPr>
                <w:b/>
                <w:bCs/>
              </w:rPr>
            </w:pPr>
            <w:r w:rsidRPr="00244426">
              <w:rPr>
                <w:b/>
                <w:bCs/>
              </w:rPr>
              <w:t>169,178.6</w:t>
            </w:r>
          </w:p>
        </w:tc>
        <w:tc>
          <w:tcPr>
            <w:tcW w:w="1670" w:type="dxa"/>
            <w:tcBorders>
              <w:bottom w:val="single" w:sz="4" w:space="0" w:color="auto"/>
            </w:tcBorders>
            <w:noWrap/>
          </w:tcPr>
          <w:p w:rsidR="00244426" w:rsidRPr="00244426" w:rsidRDefault="00244426" w:rsidP="00C060C6">
            <w:pPr>
              <w:jc w:val="right"/>
              <w:rPr>
                <w:b/>
                <w:color w:val="000000"/>
              </w:rPr>
            </w:pPr>
            <w:r w:rsidRPr="00244426">
              <w:rPr>
                <w:b/>
                <w:color w:val="000000"/>
              </w:rPr>
              <w:t>100.0</w:t>
            </w:r>
          </w:p>
        </w:tc>
        <w:tc>
          <w:tcPr>
            <w:tcW w:w="1670" w:type="dxa"/>
            <w:tcBorders>
              <w:bottom w:val="single" w:sz="4" w:space="0" w:color="auto"/>
            </w:tcBorders>
            <w:noWrap/>
            <w:vAlign w:val="bottom"/>
          </w:tcPr>
          <w:p w:rsidR="00244426" w:rsidRPr="00244426" w:rsidRDefault="00244426" w:rsidP="00C060C6">
            <w:pPr>
              <w:jc w:val="right"/>
              <w:rPr>
                <w:b/>
                <w:bCs/>
              </w:rPr>
            </w:pPr>
            <w:r w:rsidRPr="00244426">
              <w:rPr>
                <w:b/>
                <w:bCs/>
              </w:rPr>
              <w:t>115,185.4</w:t>
            </w:r>
          </w:p>
        </w:tc>
        <w:tc>
          <w:tcPr>
            <w:tcW w:w="1670" w:type="dxa"/>
            <w:tcBorders>
              <w:bottom w:val="single" w:sz="4" w:space="0" w:color="auto"/>
            </w:tcBorders>
            <w:noWrap/>
          </w:tcPr>
          <w:p w:rsidR="00244426" w:rsidRPr="00244426" w:rsidRDefault="00244426" w:rsidP="00C060C6">
            <w:pPr>
              <w:jc w:val="right"/>
              <w:rPr>
                <w:b/>
                <w:color w:val="000000"/>
              </w:rPr>
            </w:pPr>
            <w:r w:rsidRPr="00244426">
              <w:rPr>
                <w:b/>
                <w:color w:val="000000"/>
              </w:rPr>
              <w:t>100.0</w:t>
            </w:r>
          </w:p>
        </w:tc>
      </w:tr>
    </w:tbl>
    <w:p w:rsidR="007D30D6" w:rsidRPr="00D706EB" w:rsidRDefault="001C5D72" w:rsidP="007D30D6">
      <w:pPr>
        <w:rPr>
          <w:sz w:val="18"/>
          <w:szCs w:val="18"/>
        </w:rPr>
      </w:pPr>
      <w:r>
        <w:rPr>
          <w:sz w:val="18"/>
          <w:szCs w:val="18"/>
        </w:rPr>
        <w:t>Source: Gartner (November</w:t>
      </w:r>
      <w:r w:rsidR="007D30D6" w:rsidRPr="00D706EB">
        <w:rPr>
          <w:sz w:val="18"/>
          <w:szCs w:val="18"/>
        </w:rPr>
        <w:t xml:space="preserve"> 2012)</w:t>
      </w:r>
    </w:p>
    <w:p w:rsidR="007D30D6" w:rsidRPr="00D706EB" w:rsidRDefault="007D30D6" w:rsidP="007D30D6">
      <w:pPr>
        <w:jc w:val="left"/>
        <w:rPr>
          <w:sz w:val="22"/>
          <w:szCs w:val="22"/>
        </w:rPr>
      </w:pPr>
    </w:p>
    <w:bookmarkEnd w:id="0"/>
    <w:p w:rsidR="00B8328B" w:rsidRPr="00A001DF" w:rsidRDefault="00B8328B" w:rsidP="00B8328B">
      <w:pPr>
        <w:pStyle w:val="NormalWeb"/>
        <w:spacing w:before="0" w:beforeAutospacing="0" w:after="0" w:afterAutospacing="0"/>
        <w:rPr>
          <w:color w:val="000000"/>
          <w:sz w:val="22"/>
          <w:szCs w:val="22"/>
          <w:lang w:val="en-GB" w:eastAsia="en-GB"/>
        </w:rPr>
      </w:pPr>
      <w:r w:rsidRPr="00A001DF">
        <w:rPr>
          <w:sz w:val="22"/>
          <w:szCs w:val="22"/>
        </w:rPr>
        <w:t>Additional information can be found in the Gartner report "</w:t>
      </w:r>
      <w:r w:rsidRPr="00A001DF">
        <w:rPr>
          <w:color w:val="000000"/>
          <w:sz w:val="22"/>
          <w:szCs w:val="22"/>
        </w:rPr>
        <w:t>Market Share: Mobile Phones by Region and Country, 3Q12.</w:t>
      </w:r>
      <w:r w:rsidRPr="00A001DF">
        <w:rPr>
          <w:sz w:val="22"/>
          <w:szCs w:val="22"/>
        </w:rPr>
        <w:t>" The report is available on Gartner's web</w:t>
      </w:r>
      <w:r w:rsidR="00A270E3">
        <w:rPr>
          <w:sz w:val="22"/>
          <w:szCs w:val="22"/>
        </w:rPr>
        <w:t xml:space="preserve"> </w:t>
      </w:r>
      <w:r w:rsidRPr="00A001DF">
        <w:rPr>
          <w:sz w:val="22"/>
          <w:szCs w:val="22"/>
        </w:rPr>
        <w:t xml:space="preserve">site at </w:t>
      </w:r>
      <w:hyperlink r:id="rId8" w:history="1">
        <w:r w:rsidRPr="00A001DF">
          <w:rPr>
            <w:rStyle w:val="Hyperlink"/>
            <w:rFonts w:cs="Arial"/>
            <w:bCs/>
            <w:sz w:val="22"/>
            <w:szCs w:val="22"/>
            <w:lang w:val="en-GB" w:eastAsia="en-GB"/>
          </w:rPr>
          <w:t>http://www.gartner.com/resId=2236115</w:t>
        </w:r>
      </w:hyperlink>
      <w:r w:rsidRPr="00A001DF">
        <w:rPr>
          <w:color w:val="000000"/>
          <w:sz w:val="22"/>
          <w:szCs w:val="22"/>
          <w:lang w:val="en-GB" w:eastAsia="en-GB"/>
        </w:rPr>
        <w:t xml:space="preserve">. </w:t>
      </w:r>
    </w:p>
    <w:p w:rsidR="007D30D6" w:rsidRPr="00D706EB" w:rsidRDefault="007D30D6" w:rsidP="007D30D6">
      <w:pPr>
        <w:autoSpaceDE w:val="0"/>
        <w:autoSpaceDN w:val="0"/>
        <w:adjustRightInd w:val="0"/>
        <w:jc w:val="left"/>
        <w:rPr>
          <w:b/>
          <w:bCs/>
          <w:sz w:val="22"/>
          <w:szCs w:val="22"/>
        </w:rPr>
      </w:pPr>
      <w:r w:rsidRPr="00D706EB">
        <w:rPr>
          <w:b/>
          <w:bCs/>
          <w:sz w:val="22"/>
          <w:szCs w:val="22"/>
        </w:rPr>
        <w:lastRenderedPageBreak/>
        <w:t>About Gartner</w:t>
      </w:r>
    </w:p>
    <w:p w:rsidR="007D30D6" w:rsidRPr="00D706EB" w:rsidRDefault="007D30D6" w:rsidP="007D30D6">
      <w:pPr>
        <w:jc w:val="left"/>
        <w:rPr>
          <w:sz w:val="22"/>
          <w:szCs w:val="22"/>
        </w:rPr>
      </w:pPr>
      <w:r w:rsidRPr="00D706EB">
        <w:rPr>
          <w:sz w:val="22"/>
          <w:szCs w:val="22"/>
        </w:rPr>
        <w:t>Gartner, Inc. (NYSE: IT) is the world</w:t>
      </w:r>
      <w:r>
        <w:rPr>
          <w:sz w:val="22"/>
          <w:szCs w:val="22"/>
        </w:rPr>
        <w:t>'</w:t>
      </w:r>
      <w:r w:rsidRPr="00D706EB">
        <w:rPr>
          <w:sz w:val="22"/>
          <w:szCs w:val="22"/>
        </w:rPr>
        <w:t xml:space="preserve">s leading information technology research and advisory company. Gartner delivers the technology-related insight necessary for its clients to make the right decisions, every day. From CIOs and senior IT leaders in corporations and government agencies, to business leaders in high-tech and telecom enterprises and professional services firms, to technology investors, Gartner is the valuable partner to clients in 12,000 distinct organizations. Through the resources of Gartner Research, Gartner Executive Programs, Gartner Consulting and Gartner Events, Gartner works with every client to research, analyze and interpret the business of IT within the context of their individual role. Founded in 1979, Gartner is headquartered in Stamford, Connecticut, USA, and has 5,000 associates, including 1,280 research analysts and consultants, and clients in 85 countries. For more information, visit </w:t>
      </w:r>
      <w:hyperlink r:id="rId9" w:tgtFrame="_blank" w:tooltip="https://viper.gartner.com/go/gmaeu.gartner.com~ssl/owa/redir.aspx?C=fd55b3bb4b6745cf9a2036d16d1958d9&amp;URL=http%3a%2f%2fwww.gartner.com" w:history="1">
        <w:r w:rsidRPr="00D706EB">
          <w:rPr>
            <w:rStyle w:val="Hyperlink"/>
            <w:sz w:val="22"/>
            <w:szCs w:val="22"/>
          </w:rPr>
          <w:t>www.gartner.com</w:t>
        </w:r>
      </w:hyperlink>
      <w:r w:rsidRPr="00D706EB">
        <w:rPr>
          <w:sz w:val="22"/>
          <w:szCs w:val="22"/>
        </w:rPr>
        <w:t>.</w:t>
      </w:r>
    </w:p>
    <w:p w:rsidR="007D30D6" w:rsidRPr="00D706EB" w:rsidRDefault="007D30D6" w:rsidP="007D30D6">
      <w:pPr>
        <w:pStyle w:val="NormalWeb"/>
        <w:spacing w:before="0" w:beforeAutospacing="0" w:after="0" w:afterAutospacing="0"/>
        <w:jc w:val="center"/>
        <w:rPr>
          <w:rFonts w:ascii="Tahoma" w:hAnsi="Tahoma" w:cs="Tahoma"/>
          <w:sz w:val="22"/>
          <w:szCs w:val="22"/>
        </w:rPr>
      </w:pPr>
      <w:r w:rsidRPr="00D706EB">
        <w:rPr>
          <w:sz w:val="22"/>
          <w:szCs w:val="22"/>
        </w:rPr>
        <w:t># # #</w:t>
      </w:r>
    </w:p>
    <w:p w:rsidR="0074242A" w:rsidRDefault="0074242A"/>
    <w:sectPr w:rsidR="0074242A" w:rsidSect="00C060C6">
      <w:headerReference w:type="default" r:id="rId10"/>
      <w:footerReference w:type="default" r:id="rId11"/>
      <w:headerReference w:type="first" r:id="rId12"/>
      <w:footerReference w:type="first" r:id="rId13"/>
      <w:pgSz w:w="12240" w:h="15840" w:code="1"/>
      <w:pgMar w:top="562" w:right="850" w:bottom="850" w:left="1008" w:header="850" w:footer="56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85F" w:rsidRDefault="0066485F" w:rsidP="00000B36">
      <w:r>
        <w:separator/>
      </w:r>
    </w:p>
  </w:endnote>
  <w:endnote w:type="continuationSeparator" w:id="0">
    <w:p w:rsidR="0066485F" w:rsidRDefault="0066485F" w:rsidP="00000B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7F" w:rsidRDefault="0043277F">
    <w:pPr>
      <w:jc w:val="center"/>
    </w:pPr>
  </w:p>
  <w:tbl>
    <w:tblPr>
      <w:tblW w:w="0" w:type="auto"/>
      <w:tblInd w:w="-106" w:type="dxa"/>
      <w:tblBorders>
        <w:top w:val="single" w:sz="6" w:space="0" w:color="auto"/>
        <w:right w:val="single" w:sz="6" w:space="0" w:color="auto"/>
        <w:insideV w:val="single" w:sz="6" w:space="0" w:color="auto"/>
      </w:tblBorders>
      <w:tblLayout w:type="fixed"/>
      <w:tblLook w:val="0000"/>
    </w:tblPr>
    <w:tblGrid>
      <w:gridCol w:w="6991"/>
      <w:gridCol w:w="3449"/>
    </w:tblGrid>
    <w:tr w:rsidR="0043277F">
      <w:tc>
        <w:tcPr>
          <w:tcW w:w="6991" w:type="dxa"/>
          <w:tcBorders>
            <w:top w:val="single" w:sz="6" w:space="0" w:color="auto"/>
          </w:tcBorders>
        </w:tcPr>
        <w:p w:rsidR="0043277F" w:rsidRDefault="0043277F">
          <w:pPr>
            <w:pStyle w:val="xFtrLogo"/>
            <w:rPr>
              <w:b/>
              <w:bCs/>
            </w:rPr>
          </w:pPr>
          <w:r>
            <w:rPr>
              <w:b/>
              <w:bCs/>
            </w:rPr>
            <w:t xml:space="preserve">Gartner, Inc. </w:t>
          </w:r>
        </w:p>
      </w:tc>
      <w:tc>
        <w:tcPr>
          <w:tcW w:w="3449" w:type="dxa"/>
          <w:tcBorders>
            <w:top w:val="single" w:sz="6" w:space="0" w:color="auto"/>
          </w:tcBorders>
        </w:tcPr>
        <w:p w:rsidR="0043277F" w:rsidRPr="00BD2467" w:rsidRDefault="0043277F">
          <w:pPr>
            <w:pStyle w:val="Footer"/>
            <w:spacing w:before="60"/>
            <w:ind w:left="144"/>
            <w:jc w:val="right"/>
            <w:rPr>
              <w:rFonts w:cs="Arial"/>
              <w:lang w:val="en-US"/>
            </w:rPr>
          </w:pPr>
          <w:r w:rsidRPr="00BD2467">
            <w:rPr>
              <w:rFonts w:cs="Arial"/>
              <w:lang w:val="en-US"/>
            </w:rPr>
            <w:t xml:space="preserve">page </w:t>
          </w:r>
          <w:r w:rsidR="00F76E0C" w:rsidRPr="00BD2467">
            <w:rPr>
              <w:rStyle w:val="PageNumber"/>
              <w:rFonts w:cs="Arial"/>
              <w:lang w:val="en-US"/>
            </w:rPr>
            <w:fldChar w:fldCharType="begin"/>
          </w:r>
          <w:r w:rsidRPr="00BD2467">
            <w:rPr>
              <w:rStyle w:val="PageNumber"/>
              <w:rFonts w:cs="Arial"/>
              <w:lang w:val="en-US"/>
            </w:rPr>
            <w:instrText xml:space="preserve"> PAGE </w:instrText>
          </w:r>
          <w:r w:rsidR="00F76E0C" w:rsidRPr="00BD2467">
            <w:rPr>
              <w:rStyle w:val="PageNumber"/>
              <w:rFonts w:cs="Arial"/>
              <w:lang w:val="en-US"/>
            </w:rPr>
            <w:fldChar w:fldCharType="separate"/>
          </w:r>
          <w:r w:rsidR="00822E77">
            <w:rPr>
              <w:rStyle w:val="PageNumber"/>
              <w:rFonts w:cs="Arial"/>
              <w:noProof/>
              <w:lang w:val="en-US"/>
            </w:rPr>
            <w:t>2</w:t>
          </w:r>
          <w:r w:rsidR="00F76E0C" w:rsidRPr="00BD2467">
            <w:rPr>
              <w:rStyle w:val="PageNumber"/>
              <w:rFonts w:cs="Arial"/>
              <w:lang w:val="en-US"/>
            </w:rPr>
            <w:fldChar w:fldCharType="end"/>
          </w:r>
        </w:p>
      </w:tc>
    </w:tr>
  </w:tbl>
  <w:p w:rsidR="0043277F" w:rsidRDefault="0043277F">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7F" w:rsidRDefault="00F76E0C">
    <w:pPr>
      <w:jc w:val="center"/>
    </w:pPr>
    <w:r>
      <w:fldChar w:fldCharType="begin"/>
    </w:r>
    <w:r w:rsidR="0043277F">
      <w:instrText xml:space="preserve"> if </w:instrText>
    </w:r>
    <w:r>
      <w:fldChar w:fldCharType="begin"/>
    </w:r>
    <w:r w:rsidR="0043277F">
      <w:instrText xml:space="preserve"> page </w:instrText>
    </w:r>
    <w:r>
      <w:fldChar w:fldCharType="separate"/>
    </w:r>
    <w:r w:rsidR="00822E77">
      <w:rPr>
        <w:noProof/>
      </w:rPr>
      <w:instrText>1</w:instrText>
    </w:r>
    <w:r>
      <w:rPr>
        <w:noProof/>
      </w:rPr>
      <w:fldChar w:fldCharType="end"/>
    </w:r>
    <w:r w:rsidR="0043277F">
      <w:instrText xml:space="preserve"> = </w:instrText>
    </w:r>
    <w:r>
      <w:fldChar w:fldCharType="begin"/>
    </w:r>
    <w:r w:rsidR="0043277F">
      <w:instrText xml:space="preserve"> numpages </w:instrText>
    </w:r>
    <w:r>
      <w:fldChar w:fldCharType="separate"/>
    </w:r>
    <w:r w:rsidR="00822E77">
      <w:rPr>
        <w:noProof/>
      </w:rPr>
      <w:instrText>3</w:instrText>
    </w:r>
    <w:r>
      <w:rPr>
        <w:noProof/>
      </w:rPr>
      <w:fldChar w:fldCharType="end"/>
    </w:r>
    <w:r w:rsidR="0043277F">
      <w:instrText xml:space="preserve"> "" "-more-" </w:instrText>
    </w:r>
    <w:r w:rsidR="00822E77">
      <w:fldChar w:fldCharType="separate"/>
    </w:r>
    <w:r w:rsidR="00822E77">
      <w:rPr>
        <w:noProof/>
      </w:rPr>
      <w:t>-more-</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85F" w:rsidRDefault="0066485F" w:rsidP="00000B36">
      <w:r>
        <w:separator/>
      </w:r>
    </w:p>
  </w:footnote>
  <w:footnote w:type="continuationSeparator" w:id="0">
    <w:p w:rsidR="0066485F" w:rsidRDefault="0066485F" w:rsidP="00000B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7F" w:rsidRDefault="0043277F">
    <w:pPr>
      <w:pStyle w:val="Header"/>
    </w:pPr>
  </w:p>
  <w:p w:rsidR="0043277F" w:rsidRDefault="004327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2610"/>
      <w:gridCol w:w="900"/>
      <w:gridCol w:w="165"/>
      <w:gridCol w:w="6675"/>
      <w:gridCol w:w="27"/>
    </w:tblGrid>
    <w:tr w:rsidR="0043277F">
      <w:trPr>
        <w:gridAfter w:val="1"/>
        <w:wAfter w:w="27" w:type="dxa"/>
        <w:cantSplit/>
        <w:trHeight w:hRule="exact" w:val="900"/>
      </w:trPr>
      <w:tc>
        <w:tcPr>
          <w:tcW w:w="2610" w:type="dxa"/>
        </w:tcPr>
        <w:p w:rsidR="0043277F" w:rsidRDefault="00B055FD">
          <w:pPr>
            <w:pStyle w:val="xHdrLogo"/>
          </w:pPr>
          <w:r>
            <w:rPr>
              <w:noProof/>
              <w:lang w:val="en-GB" w:eastAsia="en-GB"/>
            </w:rPr>
            <w:drawing>
              <wp:inline distT="0" distB="0" distL="0" distR="0">
                <wp:extent cx="1645920" cy="396240"/>
                <wp:effectExtent l="0" t="0" r="5080" b="10160"/>
                <wp:docPr id="1" name="Picture 1" descr="Description: GGlogotagmark_1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Glogotagmark_100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45920" cy="396240"/>
                        </a:xfrm>
                        <a:prstGeom prst="rect">
                          <a:avLst/>
                        </a:prstGeom>
                        <a:noFill/>
                        <a:ln>
                          <a:noFill/>
                        </a:ln>
                      </pic:spPr>
                    </pic:pic>
                  </a:graphicData>
                </a:graphic>
              </wp:inline>
            </w:drawing>
          </w:r>
        </w:p>
      </w:tc>
      <w:tc>
        <w:tcPr>
          <w:tcW w:w="900" w:type="dxa"/>
        </w:tcPr>
        <w:p w:rsidR="0043277F" w:rsidRDefault="0043277F"/>
      </w:tc>
      <w:tc>
        <w:tcPr>
          <w:tcW w:w="165" w:type="dxa"/>
          <w:tcBorders>
            <w:bottom w:val="single" w:sz="6" w:space="0" w:color="auto"/>
            <w:right w:val="single" w:sz="6" w:space="0" w:color="auto"/>
          </w:tcBorders>
        </w:tcPr>
        <w:p w:rsidR="0043277F" w:rsidRDefault="0043277F"/>
      </w:tc>
      <w:tc>
        <w:tcPr>
          <w:tcW w:w="6675" w:type="dxa"/>
          <w:tcBorders>
            <w:left w:val="single" w:sz="6" w:space="0" w:color="auto"/>
          </w:tcBorders>
        </w:tcPr>
        <w:p w:rsidR="0043277F" w:rsidRDefault="00F76E0C">
          <w:pPr>
            <w:pStyle w:val="xHdrServiceName"/>
          </w:pPr>
          <w:r>
            <w:rPr>
              <w:sz w:val="72"/>
              <w:szCs w:val="72"/>
            </w:rPr>
            <w:fldChar w:fldCharType="begin"/>
          </w:r>
          <w:r w:rsidR="0043277F">
            <w:rPr>
              <w:sz w:val="72"/>
              <w:szCs w:val="72"/>
            </w:rPr>
            <w:instrText xml:space="preserve"> MACROBUTTON DocumentSetup </w:instrText>
          </w:r>
          <w:r>
            <w:rPr>
              <w:sz w:val="72"/>
              <w:szCs w:val="72"/>
            </w:rPr>
            <w:fldChar w:fldCharType="begin"/>
          </w:r>
          <w:r w:rsidR="0043277F">
            <w:rPr>
              <w:sz w:val="72"/>
              <w:szCs w:val="72"/>
            </w:rPr>
            <w:instrText xml:space="preserve"> DOCPROPERTY SubTypeDesc </w:instrText>
          </w:r>
          <w:r>
            <w:rPr>
              <w:sz w:val="72"/>
              <w:szCs w:val="72"/>
            </w:rPr>
            <w:fldChar w:fldCharType="separate"/>
          </w:r>
          <w:r w:rsidR="0043277F">
            <w:rPr>
              <w:sz w:val="72"/>
              <w:szCs w:val="72"/>
            </w:rPr>
            <w:instrText>Press Release</w:instrText>
          </w:r>
          <w:r>
            <w:rPr>
              <w:sz w:val="72"/>
              <w:szCs w:val="72"/>
            </w:rPr>
            <w:fldChar w:fldCharType="end"/>
          </w:r>
          <w:r>
            <w:rPr>
              <w:sz w:val="72"/>
              <w:szCs w:val="72"/>
            </w:rPr>
            <w:fldChar w:fldCharType="end"/>
          </w:r>
        </w:p>
      </w:tc>
    </w:tr>
    <w:tr w:rsidR="0043277F">
      <w:trPr>
        <w:cantSplit/>
      </w:trPr>
      <w:tc>
        <w:tcPr>
          <w:tcW w:w="3510" w:type="dxa"/>
          <w:gridSpan w:val="2"/>
        </w:tcPr>
        <w:p w:rsidR="0043277F" w:rsidRDefault="0043277F">
          <w:pPr>
            <w:spacing w:before="60" w:after="60"/>
            <w:ind w:left="1080"/>
          </w:pPr>
        </w:p>
      </w:tc>
      <w:tc>
        <w:tcPr>
          <w:tcW w:w="165" w:type="dxa"/>
        </w:tcPr>
        <w:p w:rsidR="0043277F" w:rsidRDefault="0043277F">
          <w:pPr>
            <w:spacing w:before="60" w:after="60"/>
            <w:ind w:left="1080"/>
            <w:rPr>
              <w:b/>
              <w:bCs/>
            </w:rPr>
          </w:pPr>
        </w:p>
      </w:tc>
      <w:tc>
        <w:tcPr>
          <w:tcW w:w="6702" w:type="dxa"/>
          <w:gridSpan w:val="2"/>
        </w:tcPr>
        <w:p w:rsidR="0043277F" w:rsidRDefault="0043277F"/>
      </w:tc>
    </w:tr>
  </w:tbl>
  <w:p w:rsidR="0043277F" w:rsidRDefault="004327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9154"/>
  </w:hdrShapeDefaults>
  <w:footnotePr>
    <w:footnote w:id="-1"/>
    <w:footnote w:id="0"/>
  </w:footnotePr>
  <w:endnotePr>
    <w:endnote w:id="-1"/>
    <w:endnote w:id="0"/>
  </w:endnotePr>
  <w:compat/>
  <w:rsids>
    <w:rsidRoot w:val="007D30D6"/>
    <w:rsid w:val="00000B36"/>
    <w:rsid w:val="0000608A"/>
    <w:rsid w:val="00021A0F"/>
    <w:rsid w:val="000633B2"/>
    <w:rsid w:val="000657C5"/>
    <w:rsid w:val="00066E41"/>
    <w:rsid w:val="000739DD"/>
    <w:rsid w:val="00085E67"/>
    <w:rsid w:val="000A403F"/>
    <w:rsid w:val="000A7F03"/>
    <w:rsid w:val="000D1ECD"/>
    <w:rsid w:val="00123721"/>
    <w:rsid w:val="00134801"/>
    <w:rsid w:val="00143F75"/>
    <w:rsid w:val="00195FFF"/>
    <w:rsid w:val="001C5D72"/>
    <w:rsid w:val="001C6739"/>
    <w:rsid w:val="00200D5A"/>
    <w:rsid w:val="00202097"/>
    <w:rsid w:val="00244426"/>
    <w:rsid w:val="0028209E"/>
    <w:rsid w:val="00287C9B"/>
    <w:rsid w:val="002A4DFA"/>
    <w:rsid w:val="002B5578"/>
    <w:rsid w:val="002B6F66"/>
    <w:rsid w:val="00312255"/>
    <w:rsid w:val="0033401E"/>
    <w:rsid w:val="00382E2A"/>
    <w:rsid w:val="003E6162"/>
    <w:rsid w:val="003E79D0"/>
    <w:rsid w:val="0043277F"/>
    <w:rsid w:val="00476CED"/>
    <w:rsid w:val="0048560F"/>
    <w:rsid w:val="004D294B"/>
    <w:rsid w:val="00500C68"/>
    <w:rsid w:val="005018A4"/>
    <w:rsid w:val="00523383"/>
    <w:rsid w:val="00547B1F"/>
    <w:rsid w:val="00551E54"/>
    <w:rsid w:val="005601E8"/>
    <w:rsid w:val="00561FDB"/>
    <w:rsid w:val="005721B3"/>
    <w:rsid w:val="005A4A80"/>
    <w:rsid w:val="00601652"/>
    <w:rsid w:val="00634335"/>
    <w:rsid w:val="0066485F"/>
    <w:rsid w:val="00673D57"/>
    <w:rsid w:val="00693AB7"/>
    <w:rsid w:val="006A046D"/>
    <w:rsid w:val="006A37DE"/>
    <w:rsid w:val="006C1CDD"/>
    <w:rsid w:val="0074242A"/>
    <w:rsid w:val="00770BE6"/>
    <w:rsid w:val="00772387"/>
    <w:rsid w:val="007B120A"/>
    <w:rsid w:val="007D30D6"/>
    <w:rsid w:val="007D50CD"/>
    <w:rsid w:val="007F2F49"/>
    <w:rsid w:val="00802003"/>
    <w:rsid w:val="00811BC3"/>
    <w:rsid w:val="00822E77"/>
    <w:rsid w:val="008255CD"/>
    <w:rsid w:val="00887C63"/>
    <w:rsid w:val="008A639B"/>
    <w:rsid w:val="008C68AD"/>
    <w:rsid w:val="0098345E"/>
    <w:rsid w:val="009C2897"/>
    <w:rsid w:val="009C6C15"/>
    <w:rsid w:val="009D0E31"/>
    <w:rsid w:val="009E5825"/>
    <w:rsid w:val="00A270E3"/>
    <w:rsid w:val="00A41512"/>
    <w:rsid w:val="00A468E9"/>
    <w:rsid w:val="00A60599"/>
    <w:rsid w:val="00A613C5"/>
    <w:rsid w:val="00B055FD"/>
    <w:rsid w:val="00B22562"/>
    <w:rsid w:val="00B27C94"/>
    <w:rsid w:val="00B369EA"/>
    <w:rsid w:val="00B47F17"/>
    <w:rsid w:val="00B53E43"/>
    <w:rsid w:val="00B54B89"/>
    <w:rsid w:val="00B55416"/>
    <w:rsid w:val="00B8328B"/>
    <w:rsid w:val="00BA168D"/>
    <w:rsid w:val="00BD3236"/>
    <w:rsid w:val="00BD411A"/>
    <w:rsid w:val="00C060C6"/>
    <w:rsid w:val="00C30D14"/>
    <w:rsid w:val="00C31C5B"/>
    <w:rsid w:val="00CE2B1C"/>
    <w:rsid w:val="00D1346C"/>
    <w:rsid w:val="00DA4F7D"/>
    <w:rsid w:val="00E0424D"/>
    <w:rsid w:val="00E2499E"/>
    <w:rsid w:val="00E503BA"/>
    <w:rsid w:val="00E62BAF"/>
    <w:rsid w:val="00EE6E62"/>
    <w:rsid w:val="00F10EDD"/>
    <w:rsid w:val="00F14736"/>
    <w:rsid w:val="00F17BB6"/>
    <w:rsid w:val="00F76E0C"/>
    <w:rsid w:val="00F93855"/>
    <w:rsid w:val="00FA3E73"/>
    <w:rsid w:val="00FB1D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D6"/>
    <w:pPr>
      <w:spacing w:after="0" w:line="240" w:lineRule="auto"/>
      <w:jc w:val="both"/>
    </w:pPr>
    <w:rPr>
      <w:rFonts w:ascii="Arial" w:eastAsia="Times New Roman" w:hAnsi="Arial"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30D6"/>
    <w:pPr>
      <w:tabs>
        <w:tab w:val="center" w:pos="4320"/>
        <w:tab w:val="right" w:pos="8640"/>
      </w:tabs>
    </w:pPr>
    <w:rPr>
      <w:rFonts w:cs="Times New Roman"/>
      <w:lang w:val="en-GB"/>
    </w:rPr>
  </w:style>
  <w:style w:type="character" w:customStyle="1" w:styleId="HeaderChar">
    <w:name w:val="Header Char"/>
    <w:basedOn w:val="DefaultParagraphFont"/>
    <w:link w:val="Header"/>
    <w:uiPriority w:val="99"/>
    <w:rsid w:val="007D30D6"/>
    <w:rPr>
      <w:rFonts w:ascii="Arial" w:eastAsia="Times New Roman" w:hAnsi="Arial" w:cs="Times New Roman"/>
      <w:sz w:val="20"/>
      <w:szCs w:val="20"/>
    </w:rPr>
  </w:style>
  <w:style w:type="paragraph" w:styleId="Footer">
    <w:name w:val="footer"/>
    <w:basedOn w:val="Normal"/>
    <w:link w:val="FooterChar"/>
    <w:uiPriority w:val="99"/>
    <w:rsid w:val="007D30D6"/>
    <w:pPr>
      <w:tabs>
        <w:tab w:val="center" w:pos="4320"/>
        <w:tab w:val="right" w:pos="8640"/>
      </w:tabs>
    </w:pPr>
    <w:rPr>
      <w:rFonts w:cs="Times New Roman"/>
      <w:lang w:val="en-GB"/>
    </w:rPr>
  </w:style>
  <w:style w:type="character" w:customStyle="1" w:styleId="FooterChar">
    <w:name w:val="Footer Char"/>
    <w:basedOn w:val="DefaultParagraphFont"/>
    <w:link w:val="Footer"/>
    <w:uiPriority w:val="99"/>
    <w:rsid w:val="007D30D6"/>
    <w:rPr>
      <w:rFonts w:ascii="Arial" w:eastAsia="Times New Roman" w:hAnsi="Arial" w:cs="Times New Roman"/>
      <w:sz w:val="20"/>
      <w:szCs w:val="20"/>
    </w:rPr>
  </w:style>
  <w:style w:type="character" w:styleId="PageNumber">
    <w:name w:val="page number"/>
    <w:uiPriority w:val="99"/>
    <w:rsid w:val="007D30D6"/>
    <w:rPr>
      <w:rFonts w:cs="Times New Roman"/>
    </w:rPr>
  </w:style>
  <w:style w:type="paragraph" w:customStyle="1" w:styleId="xFtrLogo">
    <w:name w:val="x_FtrLogo"/>
    <w:basedOn w:val="Normal"/>
    <w:uiPriority w:val="99"/>
    <w:rsid w:val="007D30D6"/>
    <w:pPr>
      <w:spacing w:before="60"/>
    </w:pPr>
  </w:style>
  <w:style w:type="paragraph" w:customStyle="1" w:styleId="xHdrLogo">
    <w:name w:val="x_HdrLogo"/>
    <w:basedOn w:val="Normal"/>
    <w:uiPriority w:val="99"/>
    <w:rsid w:val="007D30D6"/>
    <w:pPr>
      <w:spacing w:before="120"/>
    </w:pPr>
  </w:style>
  <w:style w:type="paragraph" w:customStyle="1" w:styleId="xHdrServiceName">
    <w:name w:val="x_HdrServiceName"/>
    <w:basedOn w:val="Normal"/>
    <w:uiPriority w:val="99"/>
    <w:rsid w:val="007D30D6"/>
    <w:pPr>
      <w:spacing w:before="120"/>
      <w:ind w:left="216"/>
      <w:jc w:val="right"/>
    </w:pPr>
    <w:rPr>
      <w:b/>
      <w:bCs/>
      <w:sz w:val="28"/>
      <w:szCs w:val="28"/>
    </w:rPr>
  </w:style>
  <w:style w:type="character" w:styleId="Hyperlink">
    <w:name w:val="Hyperlink"/>
    <w:uiPriority w:val="99"/>
    <w:rsid w:val="007D30D6"/>
    <w:rPr>
      <w:rFonts w:cs="Times New Roman"/>
      <w:color w:val="0000FF"/>
      <w:u w:val="single"/>
    </w:rPr>
  </w:style>
  <w:style w:type="paragraph" w:customStyle="1" w:styleId="contact">
    <w:name w:val="contact"/>
    <w:basedOn w:val="Normal"/>
    <w:uiPriority w:val="99"/>
    <w:rsid w:val="007D30D6"/>
    <w:pPr>
      <w:widowControl w:val="0"/>
      <w:tabs>
        <w:tab w:val="right" w:pos="9180"/>
      </w:tabs>
      <w:jc w:val="left"/>
    </w:pPr>
    <w:rPr>
      <w:rFonts w:ascii="Palatino" w:hAnsi="Palatino" w:cs="Palatino"/>
      <w:sz w:val="22"/>
      <w:szCs w:val="22"/>
    </w:rPr>
  </w:style>
  <w:style w:type="paragraph" w:styleId="NormalWeb">
    <w:name w:val="Normal (Web)"/>
    <w:basedOn w:val="Normal"/>
    <w:uiPriority w:val="99"/>
    <w:rsid w:val="007D30D6"/>
    <w:pPr>
      <w:spacing w:before="100" w:beforeAutospacing="1" w:after="100" w:afterAutospacing="1"/>
      <w:jc w:val="left"/>
    </w:pPr>
    <w:rPr>
      <w:sz w:val="24"/>
      <w:szCs w:val="24"/>
    </w:rPr>
  </w:style>
  <w:style w:type="character" w:styleId="Strong">
    <w:name w:val="Strong"/>
    <w:uiPriority w:val="22"/>
    <w:qFormat/>
    <w:rsid w:val="007D30D6"/>
    <w:rPr>
      <w:rFonts w:cs="Times New Roman"/>
      <w:b/>
      <w:bCs/>
    </w:rPr>
  </w:style>
  <w:style w:type="character" w:styleId="CommentReference">
    <w:name w:val="annotation reference"/>
    <w:basedOn w:val="DefaultParagraphFont"/>
    <w:uiPriority w:val="99"/>
    <w:semiHidden/>
    <w:unhideWhenUsed/>
    <w:rsid w:val="007D30D6"/>
    <w:rPr>
      <w:sz w:val="16"/>
      <w:szCs w:val="16"/>
    </w:rPr>
  </w:style>
  <w:style w:type="paragraph" w:styleId="CommentText">
    <w:name w:val="annotation text"/>
    <w:basedOn w:val="Normal"/>
    <w:link w:val="CommentTextChar"/>
    <w:uiPriority w:val="99"/>
    <w:semiHidden/>
    <w:unhideWhenUsed/>
    <w:rsid w:val="007D30D6"/>
  </w:style>
  <w:style w:type="character" w:customStyle="1" w:styleId="CommentTextChar">
    <w:name w:val="Comment Text Char"/>
    <w:basedOn w:val="DefaultParagraphFont"/>
    <w:link w:val="CommentText"/>
    <w:uiPriority w:val="99"/>
    <w:semiHidden/>
    <w:rsid w:val="007D30D6"/>
    <w:rPr>
      <w:rFonts w:ascii="Arial" w:eastAsia="Times New Roman"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7D30D6"/>
    <w:rPr>
      <w:b/>
      <w:bCs/>
    </w:rPr>
  </w:style>
  <w:style w:type="character" w:customStyle="1" w:styleId="CommentSubjectChar">
    <w:name w:val="Comment Subject Char"/>
    <w:basedOn w:val="CommentTextChar"/>
    <w:link w:val="CommentSubject"/>
    <w:uiPriority w:val="99"/>
    <w:semiHidden/>
    <w:rsid w:val="007D30D6"/>
    <w:rPr>
      <w:rFonts w:ascii="Arial" w:eastAsia="Times New Roman" w:hAnsi="Arial" w:cs="Arial"/>
      <w:b/>
      <w:bCs/>
      <w:sz w:val="20"/>
      <w:szCs w:val="20"/>
      <w:lang w:val="en-US"/>
    </w:rPr>
  </w:style>
  <w:style w:type="paragraph" w:styleId="BalloonText">
    <w:name w:val="Balloon Text"/>
    <w:basedOn w:val="Normal"/>
    <w:link w:val="BalloonTextChar"/>
    <w:uiPriority w:val="99"/>
    <w:semiHidden/>
    <w:unhideWhenUsed/>
    <w:rsid w:val="007D30D6"/>
    <w:rPr>
      <w:rFonts w:ascii="Tahoma" w:hAnsi="Tahoma" w:cs="Tahoma"/>
      <w:sz w:val="16"/>
      <w:szCs w:val="16"/>
    </w:rPr>
  </w:style>
  <w:style w:type="character" w:customStyle="1" w:styleId="BalloonTextChar">
    <w:name w:val="Balloon Text Char"/>
    <w:basedOn w:val="DefaultParagraphFont"/>
    <w:link w:val="BalloonText"/>
    <w:uiPriority w:val="99"/>
    <w:semiHidden/>
    <w:rsid w:val="007D30D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D6"/>
    <w:pPr>
      <w:spacing w:after="0" w:line="240" w:lineRule="auto"/>
      <w:jc w:val="both"/>
    </w:pPr>
    <w:rPr>
      <w:rFonts w:ascii="Arial" w:eastAsia="Times New Roman" w:hAnsi="Arial"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30D6"/>
    <w:pPr>
      <w:tabs>
        <w:tab w:val="center" w:pos="4320"/>
        <w:tab w:val="right" w:pos="8640"/>
      </w:tabs>
    </w:pPr>
    <w:rPr>
      <w:rFonts w:cs="Times New Roman"/>
      <w:lang w:val="en-GB"/>
    </w:rPr>
  </w:style>
  <w:style w:type="character" w:customStyle="1" w:styleId="HeaderChar">
    <w:name w:val="Header Char"/>
    <w:basedOn w:val="DefaultParagraphFont"/>
    <w:link w:val="Header"/>
    <w:uiPriority w:val="99"/>
    <w:rsid w:val="007D30D6"/>
    <w:rPr>
      <w:rFonts w:ascii="Arial" w:eastAsia="Times New Roman" w:hAnsi="Arial" w:cs="Times New Roman"/>
      <w:sz w:val="20"/>
      <w:szCs w:val="20"/>
    </w:rPr>
  </w:style>
  <w:style w:type="paragraph" w:styleId="Footer">
    <w:name w:val="footer"/>
    <w:basedOn w:val="Normal"/>
    <w:link w:val="FooterChar"/>
    <w:uiPriority w:val="99"/>
    <w:rsid w:val="007D30D6"/>
    <w:pPr>
      <w:tabs>
        <w:tab w:val="center" w:pos="4320"/>
        <w:tab w:val="right" w:pos="8640"/>
      </w:tabs>
    </w:pPr>
    <w:rPr>
      <w:rFonts w:cs="Times New Roman"/>
      <w:lang w:val="en-GB"/>
    </w:rPr>
  </w:style>
  <w:style w:type="character" w:customStyle="1" w:styleId="FooterChar">
    <w:name w:val="Footer Char"/>
    <w:basedOn w:val="DefaultParagraphFont"/>
    <w:link w:val="Footer"/>
    <w:uiPriority w:val="99"/>
    <w:rsid w:val="007D30D6"/>
    <w:rPr>
      <w:rFonts w:ascii="Arial" w:eastAsia="Times New Roman" w:hAnsi="Arial" w:cs="Times New Roman"/>
      <w:sz w:val="20"/>
      <w:szCs w:val="20"/>
    </w:rPr>
  </w:style>
  <w:style w:type="character" w:styleId="PageNumber">
    <w:name w:val="page number"/>
    <w:uiPriority w:val="99"/>
    <w:rsid w:val="007D30D6"/>
    <w:rPr>
      <w:rFonts w:cs="Times New Roman"/>
    </w:rPr>
  </w:style>
  <w:style w:type="paragraph" w:customStyle="1" w:styleId="xFtrLogo">
    <w:name w:val="x_FtrLogo"/>
    <w:basedOn w:val="Normal"/>
    <w:uiPriority w:val="99"/>
    <w:rsid w:val="007D30D6"/>
    <w:pPr>
      <w:spacing w:before="60"/>
    </w:pPr>
  </w:style>
  <w:style w:type="paragraph" w:customStyle="1" w:styleId="xHdrLogo">
    <w:name w:val="x_HdrLogo"/>
    <w:basedOn w:val="Normal"/>
    <w:uiPriority w:val="99"/>
    <w:rsid w:val="007D30D6"/>
    <w:pPr>
      <w:spacing w:before="120"/>
    </w:pPr>
  </w:style>
  <w:style w:type="paragraph" w:customStyle="1" w:styleId="xHdrServiceName">
    <w:name w:val="x_HdrServiceName"/>
    <w:basedOn w:val="Normal"/>
    <w:uiPriority w:val="99"/>
    <w:rsid w:val="007D30D6"/>
    <w:pPr>
      <w:spacing w:before="120"/>
      <w:ind w:left="216"/>
      <w:jc w:val="right"/>
    </w:pPr>
    <w:rPr>
      <w:b/>
      <w:bCs/>
      <w:sz w:val="28"/>
      <w:szCs w:val="28"/>
    </w:rPr>
  </w:style>
  <w:style w:type="character" w:styleId="Hyperlink">
    <w:name w:val="Hyperlink"/>
    <w:uiPriority w:val="99"/>
    <w:rsid w:val="007D30D6"/>
    <w:rPr>
      <w:rFonts w:cs="Times New Roman"/>
      <w:color w:val="0000FF"/>
      <w:u w:val="single"/>
    </w:rPr>
  </w:style>
  <w:style w:type="paragraph" w:customStyle="1" w:styleId="contact">
    <w:name w:val="contact"/>
    <w:basedOn w:val="Normal"/>
    <w:uiPriority w:val="99"/>
    <w:rsid w:val="007D30D6"/>
    <w:pPr>
      <w:widowControl w:val="0"/>
      <w:tabs>
        <w:tab w:val="right" w:pos="9180"/>
      </w:tabs>
      <w:jc w:val="left"/>
    </w:pPr>
    <w:rPr>
      <w:rFonts w:ascii="Palatino" w:hAnsi="Palatino" w:cs="Palatino"/>
      <w:sz w:val="22"/>
      <w:szCs w:val="22"/>
    </w:rPr>
  </w:style>
  <w:style w:type="paragraph" w:styleId="NormalWeb">
    <w:name w:val="Normal (Web)"/>
    <w:basedOn w:val="Normal"/>
    <w:uiPriority w:val="99"/>
    <w:rsid w:val="007D30D6"/>
    <w:pPr>
      <w:spacing w:before="100" w:beforeAutospacing="1" w:after="100" w:afterAutospacing="1"/>
      <w:jc w:val="left"/>
    </w:pPr>
    <w:rPr>
      <w:sz w:val="24"/>
      <w:szCs w:val="24"/>
    </w:rPr>
  </w:style>
  <w:style w:type="character" w:styleId="Strong">
    <w:name w:val="Strong"/>
    <w:uiPriority w:val="22"/>
    <w:qFormat/>
    <w:rsid w:val="007D30D6"/>
    <w:rPr>
      <w:rFonts w:cs="Times New Roman"/>
      <w:b/>
      <w:bCs/>
    </w:rPr>
  </w:style>
  <w:style w:type="character" w:styleId="CommentReference">
    <w:name w:val="annotation reference"/>
    <w:basedOn w:val="DefaultParagraphFont"/>
    <w:uiPriority w:val="99"/>
    <w:semiHidden/>
    <w:unhideWhenUsed/>
    <w:rsid w:val="007D30D6"/>
    <w:rPr>
      <w:sz w:val="16"/>
      <w:szCs w:val="16"/>
    </w:rPr>
  </w:style>
  <w:style w:type="paragraph" w:styleId="CommentText">
    <w:name w:val="annotation text"/>
    <w:basedOn w:val="Normal"/>
    <w:link w:val="CommentTextChar"/>
    <w:uiPriority w:val="99"/>
    <w:semiHidden/>
    <w:unhideWhenUsed/>
    <w:rsid w:val="007D30D6"/>
  </w:style>
  <w:style w:type="character" w:customStyle="1" w:styleId="CommentTextChar">
    <w:name w:val="Comment Text Char"/>
    <w:basedOn w:val="DefaultParagraphFont"/>
    <w:link w:val="CommentText"/>
    <w:uiPriority w:val="99"/>
    <w:semiHidden/>
    <w:rsid w:val="007D30D6"/>
    <w:rPr>
      <w:rFonts w:ascii="Arial" w:eastAsia="Times New Roman"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7D30D6"/>
    <w:rPr>
      <w:b/>
      <w:bCs/>
    </w:rPr>
  </w:style>
  <w:style w:type="character" w:customStyle="1" w:styleId="CommentSubjectChar">
    <w:name w:val="Comment Subject Char"/>
    <w:basedOn w:val="CommentTextChar"/>
    <w:link w:val="CommentSubject"/>
    <w:uiPriority w:val="99"/>
    <w:semiHidden/>
    <w:rsid w:val="007D30D6"/>
    <w:rPr>
      <w:rFonts w:ascii="Arial" w:eastAsia="Times New Roman" w:hAnsi="Arial" w:cs="Arial"/>
      <w:b/>
      <w:bCs/>
      <w:sz w:val="20"/>
      <w:szCs w:val="20"/>
      <w:lang w:val="en-US"/>
    </w:rPr>
  </w:style>
  <w:style w:type="paragraph" w:styleId="BalloonText">
    <w:name w:val="Balloon Text"/>
    <w:basedOn w:val="Normal"/>
    <w:link w:val="BalloonTextChar"/>
    <w:uiPriority w:val="99"/>
    <w:semiHidden/>
    <w:unhideWhenUsed/>
    <w:rsid w:val="007D30D6"/>
    <w:rPr>
      <w:rFonts w:ascii="Tahoma" w:hAnsi="Tahoma" w:cs="Tahoma"/>
      <w:sz w:val="16"/>
      <w:szCs w:val="16"/>
    </w:rPr>
  </w:style>
  <w:style w:type="character" w:customStyle="1" w:styleId="BalloonTextChar">
    <w:name w:val="Balloon Text Char"/>
    <w:basedOn w:val="DefaultParagraphFont"/>
    <w:link w:val="BalloonText"/>
    <w:uiPriority w:val="99"/>
    <w:semiHidden/>
    <w:rsid w:val="007D30D6"/>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144348140">
      <w:bodyDiv w:val="1"/>
      <w:marLeft w:val="0"/>
      <w:marRight w:val="0"/>
      <w:marTop w:val="0"/>
      <w:marBottom w:val="0"/>
      <w:divBdr>
        <w:top w:val="none" w:sz="0" w:space="0" w:color="auto"/>
        <w:left w:val="none" w:sz="0" w:space="0" w:color="auto"/>
        <w:bottom w:val="none" w:sz="0" w:space="0" w:color="auto"/>
        <w:right w:val="none" w:sz="0" w:space="0" w:color="auto"/>
      </w:divBdr>
      <w:divsChild>
        <w:div w:id="1391149187">
          <w:marLeft w:val="0"/>
          <w:marRight w:val="0"/>
          <w:marTop w:val="0"/>
          <w:marBottom w:val="0"/>
          <w:divBdr>
            <w:top w:val="none" w:sz="0" w:space="0" w:color="auto"/>
            <w:left w:val="none" w:sz="0" w:space="0" w:color="auto"/>
            <w:bottom w:val="none" w:sz="0" w:space="0" w:color="auto"/>
            <w:right w:val="none" w:sz="0" w:space="0" w:color="auto"/>
          </w:divBdr>
          <w:divsChild>
            <w:div w:id="1013530217">
              <w:marLeft w:val="0"/>
              <w:marRight w:val="0"/>
              <w:marTop w:val="0"/>
              <w:marBottom w:val="0"/>
              <w:divBdr>
                <w:top w:val="none" w:sz="0" w:space="0" w:color="auto"/>
                <w:left w:val="none" w:sz="0" w:space="0" w:color="auto"/>
                <w:bottom w:val="none" w:sz="0" w:space="0" w:color="auto"/>
                <w:right w:val="none" w:sz="0" w:space="0" w:color="auto"/>
              </w:divBdr>
              <w:divsChild>
                <w:div w:id="1908614788">
                  <w:marLeft w:val="0"/>
                  <w:marRight w:val="0"/>
                  <w:marTop w:val="0"/>
                  <w:marBottom w:val="0"/>
                  <w:divBdr>
                    <w:top w:val="none" w:sz="0" w:space="0" w:color="auto"/>
                    <w:left w:val="none" w:sz="0" w:space="0" w:color="auto"/>
                    <w:bottom w:val="none" w:sz="0" w:space="0" w:color="auto"/>
                    <w:right w:val="none" w:sz="0" w:space="0" w:color="auto"/>
                  </w:divBdr>
                  <w:divsChild>
                    <w:div w:id="1294019206">
                      <w:marLeft w:val="0"/>
                      <w:marRight w:val="0"/>
                      <w:marTop w:val="0"/>
                      <w:marBottom w:val="0"/>
                      <w:divBdr>
                        <w:top w:val="none" w:sz="0" w:space="0" w:color="auto"/>
                        <w:left w:val="none" w:sz="0" w:space="0" w:color="auto"/>
                        <w:bottom w:val="none" w:sz="0" w:space="0" w:color="auto"/>
                        <w:right w:val="none" w:sz="0" w:space="0" w:color="auto"/>
                      </w:divBdr>
                      <w:divsChild>
                        <w:div w:id="316763072">
                          <w:marLeft w:val="0"/>
                          <w:marRight w:val="0"/>
                          <w:marTop w:val="0"/>
                          <w:marBottom w:val="0"/>
                          <w:divBdr>
                            <w:top w:val="none" w:sz="0" w:space="0" w:color="auto"/>
                            <w:left w:val="none" w:sz="0" w:space="0" w:color="auto"/>
                            <w:bottom w:val="none" w:sz="0" w:space="0" w:color="auto"/>
                            <w:right w:val="none" w:sz="0" w:space="0" w:color="auto"/>
                          </w:divBdr>
                          <w:divsChild>
                            <w:div w:id="1921481780">
                              <w:marLeft w:val="0"/>
                              <w:marRight w:val="0"/>
                              <w:marTop w:val="0"/>
                              <w:marBottom w:val="0"/>
                              <w:divBdr>
                                <w:top w:val="none" w:sz="0" w:space="0" w:color="auto"/>
                                <w:left w:val="none" w:sz="0" w:space="0" w:color="auto"/>
                                <w:bottom w:val="none" w:sz="0" w:space="0" w:color="auto"/>
                                <w:right w:val="none" w:sz="0" w:space="0" w:color="auto"/>
                              </w:divBdr>
                              <w:divsChild>
                                <w:div w:id="412551412">
                                  <w:marLeft w:val="0"/>
                                  <w:marRight w:val="0"/>
                                  <w:marTop w:val="0"/>
                                  <w:marBottom w:val="0"/>
                                  <w:divBdr>
                                    <w:top w:val="none" w:sz="0" w:space="0" w:color="auto"/>
                                    <w:left w:val="none" w:sz="0" w:space="0" w:color="auto"/>
                                    <w:bottom w:val="none" w:sz="0" w:space="0" w:color="auto"/>
                                    <w:right w:val="none" w:sz="0" w:space="0" w:color="auto"/>
                                  </w:divBdr>
                                  <w:divsChild>
                                    <w:div w:id="2146773646">
                                      <w:marLeft w:val="0"/>
                                      <w:marRight w:val="0"/>
                                      <w:marTop w:val="0"/>
                                      <w:marBottom w:val="0"/>
                                      <w:divBdr>
                                        <w:top w:val="none" w:sz="0" w:space="0" w:color="auto"/>
                                        <w:left w:val="none" w:sz="0" w:space="0" w:color="auto"/>
                                        <w:bottom w:val="none" w:sz="0" w:space="0" w:color="auto"/>
                                        <w:right w:val="none" w:sz="0" w:space="0" w:color="auto"/>
                                      </w:divBdr>
                                      <w:divsChild>
                                        <w:div w:id="2075276538">
                                          <w:marLeft w:val="0"/>
                                          <w:marRight w:val="0"/>
                                          <w:marTop w:val="0"/>
                                          <w:marBottom w:val="0"/>
                                          <w:divBdr>
                                            <w:top w:val="none" w:sz="0" w:space="0" w:color="auto"/>
                                            <w:left w:val="none" w:sz="0" w:space="0" w:color="auto"/>
                                            <w:bottom w:val="none" w:sz="0" w:space="0" w:color="auto"/>
                                            <w:right w:val="none" w:sz="0" w:space="0" w:color="auto"/>
                                          </w:divBdr>
                                          <w:divsChild>
                                            <w:div w:id="709961544">
                                              <w:marLeft w:val="0"/>
                                              <w:marRight w:val="0"/>
                                              <w:marTop w:val="0"/>
                                              <w:marBottom w:val="0"/>
                                              <w:divBdr>
                                                <w:top w:val="none" w:sz="0" w:space="0" w:color="auto"/>
                                                <w:left w:val="none" w:sz="0" w:space="0" w:color="auto"/>
                                                <w:bottom w:val="none" w:sz="0" w:space="0" w:color="auto"/>
                                                <w:right w:val="none" w:sz="0" w:space="0" w:color="auto"/>
                                              </w:divBdr>
                                              <w:divsChild>
                                                <w:div w:id="184294933">
                                                  <w:marLeft w:val="0"/>
                                                  <w:marRight w:val="0"/>
                                                  <w:marTop w:val="0"/>
                                                  <w:marBottom w:val="0"/>
                                                  <w:divBdr>
                                                    <w:top w:val="none" w:sz="0" w:space="0" w:color="auto"/>
                                                    <w:left w:val="none" w:sz="0" w:space="0" w:color="auto"/>
                                                    <w:bottom w:val="none" w:sz="0" w:space="0" w:color="auto"/>
                                                    <w:right w:val="none" w:sz="0" w:space="0" w:color="auto"/>
                                                  </w:divBdr>
                                                  <w:divsChild>
                                                    <w:div w:id="2113547848">
                                                      <w:marLeft w:val="0"/>
                                                      <w:marRight w:val="0"/>
                                                      <w:marTop w:val="0"/>
                                                      <w:marBottom w:val="0"/>
                                                      <w:divBdr>
                                                        <w:top w:val="none" w:sz="0" w:space="0" w:color="auto"/>
                                                        <w:left w:val="none" w:sz="0" w:space="0" w:color="auto"/>
                                                        <w:bottom w:val="none" w:sz="0" w:space="0" w:color="auto"/>
                                                        <w:right w:val="none" w:sz="0" w:space="0" w:color="auto"/>
                                                      </w:divBdr>
                                                      <w:divsChild>
                                                        <w:div w:id="2121367334">
                                                          <w:marLeft w:val="0"/>
                                                          <w:marRight w:val="0"/>
                                                          <w:marTop w:val="0"/>
                                                          <w:marBottom w:val="0"/>
                                                          <w:divBdr>
                                                            <w:top w:val="none" w:sz="0" w:space="0" w:color="auto"/>
                                                            <w:left w:val="none" w:sz="0" w:space="0" w:color="auto"/>
                                                            <w:bottom w:val="none" w:sz="0" w:space="0" w:color="auto"/>
                                                            <w:right w:val="none" w:sz="0" w:space="0" w:color="auto"/>
                                                          </w:divBdr>
                                                          <w:divsChild>
                                                            <w:div w:id="12124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artner.com/resId=2236115"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christy.pettey@gartner.com" TargetMode="Externa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vandermeulen@gartner.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viper.gartner.com/go/gmaeu.gartner.com~ssl/owa/redir.aspx?C=fd55b3bb4b6745cf9a2036d16d1958d9&amp;URL=http%3a%2f%2fwww.gartner.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Gartner</Company>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lgoasduf</dc:creator>
  <cp:lastModifiedBy>lgoasduf</cp:lastModifiedBy>
  <cp:revision>6</cp:revision>
  <dcterms:created xsi:type="dcterms:W3CDTF">2012-11-14T07:13:00Z</dcterms:created>
  <dcterms:modified xsi:type="dcterms:W3CDTF">2012-11-14T07:36:00Z</dcterms:modified>
</cp:coreProperties>
</file>