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9B" w:rsidRDefault="00BF719B">
      <w:pPr>
        <w:pStyle w:val="contact"/>
        <w:widowControl/>
        <w:tabs>
          <w:tab w:val="clear" w:pos="9180"/>
        </w:tabs>
        <w:rPr>
          <w:rFonts w:ascii="Arial" w:hAnsi="Arial"/>
        </w:rPr>
      </w:pPr>
    </w:p>
    <w:p w:rsidR="00BF719B" w:rsidRDefault="00BF719B">
      <w:pPr>
        <w:pStyle w:val="contact"/>
        <w:widowControl/>
        <w:tabs>
          <w:tab w:val="clear" w:pos="9180"/>
        </w:tabs>
        <w:rPr>
          <w:rFonts w:ascii="Arial" w:hAnsi="Arial"/>
        </w:rPr>
      </w:pPr>
      <w:r>
        <w:rPr>
          <w:rFonts w:ascii="Arial" w:hAnsi="Arial"/>
        </w:rPr>
        <w:t>FOR IMMEDIATE RELEASE</w:t>
      </w:r>
    </w:p>
    <w:p w:rsidR="00BF719B" w:rsidRDefault="00BF719B">
      <w:pPr>
        <w:jc w:val="left"/>
        <w:rPr>
          <w:sz w:val="22"/>
        </w:rPr>
      </w:pPr>
    </w:p>
    <w:p w:rsidR="00953842" w:rsidRPr="00953842" w:rsidRDefault="00953842" w:rsidP="00953842">
      <w:pPr>
        <w:pStyle w:val="contact"/>
        <w:rPr>
          <w:rFonts w:ascii="Arial" w:hAnsi="Arial"/>
          <w:smallCaps/>
          <w:color w:val="000000"/>
        </w:rPr>
      </w:pPr>
      <w:r w:rsidRPr="00953842">
        <w:rPr>
          <w:rFonts w:ascii="Arial" w:hAnsi="Arial"/>
          <w:smallCaps/>
          <w:color w:val="000000"/>
        </w:rPr>
        <w:t>CONTACT</w:t>
      </w:r>
      <w:r w:rsidR="005C29E3">
        <w:rPr>
          <w:rFonts w:ascii="Arial" w:hAnsi="Arial"/>
          <w:smallCaps/>
          <w:color w:val="000000"/>
        </w:rPr>
        <w:t>S</w:t>
      </w:r>
      <w:r w:rsidRPr="00953842">
        <w:rPr>
          <w:rFonts w:ascii="Arial" w:hAnsi="Arial"/>
          <w:smallCaps/>
          <w:color w:val="000000"/>
        </w:rPr>
        <w:t>:</w:t>
      </w:r>
    </w:p>
    <w:p w:rsidR="005C29E3" w:rsidRPr="00962464" w:rsidRDefault="005C29E3" w:rsidP="005C29E3">
      <w:pPr>
        <w:pStyle w:val="contact"/>
        <w:widowControl/>
        <w:rPr>
          <w:rFonts w:ascii="Arial" w:hAnsi="Arial"/>
          <w:color w:val="000000"/>
        </w:rPr>
      </w:pPr>
      <w:r>
        <w:rPr>
          <w:rFonts w:ascii="Arial" w:hAnsi="Arial"/>
          <w:color w:val="000000"/>
        </w:rPr>
        <w:t>Janessa Rivera</w:t>
      </w:r>
      <w:r w:rsidRPr="00962464">
        <w:rPr>
          <w:rFonts w:ascii="Arial" w:hAnsi="Arial"/>
          <w:color w:val="000000"/>
        </w:rPr>
        <w:tab/>
        <w:t>Robert van der Meulen</w:t>
      </w:r>
    </w:p>
    <w:p w:rsidR="005C29E3" w:rsidRPr="00962464" w:rsidRDefault="005C29E3" w:rsidP="005C29E3">
      <w:pPr>
        <w:pStyle w:val="contact"/>
        <w:widowControl/>
        <w:rPr>
          <w:rFonts w:ascii="Arial" w:hAnsi="Arial"/>
          <w:color w:val="000000"/>
        </w:rPr>
      </w:pPr>
      <w:r w:rsidRPr="00962464">
        <w:rPr>
          <w:rFonts w:ascii="Arial" w:hAnsi="Arial"/>
          <w:color w:val="000000"/>
        </w:rPr>
        <w:t>Gartner</w:t>
      </w:r>
      <w:r w:rsidRPr="00962464">
        <w:rPr>
          <w:rFonts w:ascii="Arial" w:hAnsi="Arial"/>
          <w:color w:val="000000"/>
        </w:rPr>
        <w:tab/>
        <w:t>Gartner</w:t>
      </w:r>
    </w:p>
    <w:p w:rsidR="005C29E3" w:rsidRPr="00962464" w:rsidRDefault="005C29E3" w:rsidP="005C29E3">
      <w:pPr>
        <w:pStyle w:val="contact"/>
        <w:widowControl/>
        <w:rPr>
          <w:rFonts w:ascii="Arial" w:hAnsi="Arial"/>
          <w:color w:val="000000"/>
        </w:rPr>
      </w:pPr>
      <w:r w:rsidRPr="00962464">
        <w:rPr>
          <w:rFonts w:ascii="Arial" w:hAnsi="Arial"/>
          <w:color w:val="000000"/>
        </w:rPr>
        <w:t xml:space="preserve">+ 1 </w:t>
      </w:r>
      <w:r w:rsidRPr="00962464">
        <w:rPr>
          <w:rFonts w:ascii="Arial" w:hAnsi="Arial"/>
        </w:rPr>
        <w:t>408 468 8312</w:t>
      </w:r>
      <w:r>
        <w:rPr>
          <w:rFonts w:ascii="Arial" w:hAnsi="Arial"/>
          <w:color w:val="000000"/>
        </w:rPr>
        <w:tab/>
        <w:t>+ 44 (0) 1784 267 738</w:t>
      </w:r>
    </w:p>
    <w:p w:rsidR="005C29E3" w:rsidRPr="00962464" w:rsidRDefault="00AE1461" w:rsidP="005C29E3">
      <w:pPr>
        <w:pStyle w:val="contact"/>
        <w:widowControl/>
        <w:spacing w:after="160"/>
        <w:rPr>
          <w:rFonts w:ascii="Arial" w:hAnsi="Arial" w:cs="Arial"/>
          <w:color w:val="000000"/>
        </w:rPr>
      </w:pPr>
      <w:hyperlink r:id="rId7" w:history="1">
        <w:r w:rsidR="005C29E3" w:rsidRPr="004A20B0">
          <w:rPr>
            <w:rStyle w:val="Hyperlink"/>
            <w:rFonts w:ascii="Arial" w:hAnsi="Arial" w:cs="Arial"/>
          </w:rPr>
          <w:t>janessa.rivera@gartner.com</w:t>
        </w:r>
      </w:hyperlink>
      <w:r w:rsidR="005C29E3" w:rsidRPr="00962464">
        <w:rPr>
          <w:rFonts w:ascii="Arial" w:hAnsi="Arial" w:cs="Arial"/>
          <w:color w:val="000000"/>
        </w:rPr>
        <w:tab/>
      </w:r>
      <w:hyperlink r:id="rId8" w:history="1">
        <w:r w:rsidR="005C29E3" w:rsidRPr="00962464">
          <w:rPr>
            <w:rStyle w:val="Hyperlink"/>
            <w:rFonts w:ascii="Arial" w:hAnsi="Arial" w:cs="Arial"/>
          </w:rPr>
          <w:t>rob.vandermeulen@gartner.com</w:t>
        </w:r>
      </w:hyperlink>
    </w:p>
    <w:p w:rsidR="00BF719B" w:rsidRDefault="00BF719B">
      <w:pPr>
        <w:pStyle w:val="contact"/>
        <w:widowControl/>
        <w:rPr>
          <w:rFonts w:ascii="Arial" w:hAnsi="Arial"/>
          <w:color w:val="000000"/>
        </w:rPr>
      </w:pPr>
    </w:p>
    <w:p w:rsidR="00BF719B" w:rsidRDefault="004A5DDF">
      <w:pPr>
        <w:spacing w:after="120"/>
        <w:jc w:val="center"/>
        <w:rPr>
          <w:b/>
          <w:color w:val="000000"/>
          <w:sz w:val="24"/>
        </w:rPr>
      </w:pPr>
      <w:r>
        <w:rPr>
          <w:b/>
          <w:color w:val="000000"/>
          <w:sz w:val="24"/>
        </w:rPr>
        <w:t xml:space="preserve">Gartner Says </w:t>
      </w:r>
      <w:r w:rsidR="00E3568B">
        <w:rPr>
          <w:b/>
          <w:color w:val="000000"/>
          <w:sz w:val="24"/>
        </w:rPr>
        <w:t>t</w:t>
      </w:r>
      <w:r w:rsidR="002674D2">
        <w:rPr>
          <w:b/>
          <w:color w:val="000000"/>
          <w:sz w:val="24"/>
        </w:rPr>
        <w:t xml:space="preserve">he Worldwide </w:t>
      </w:r>
      <w:r w:rsidR="009A0C28">
        <w:rPr>
          <w:b/>
          <w:color w:val="000000"/>
          <w:sz w:val="24"/>
        </w:rPr>
        <w:t xml:space="preserve">Server </w:t>
      </w:r>
      <w:r w:rsidR="002674D2">
        <w:rPr>
          <w:b/>
          <w:color w:val="000000"/>
          <w:sz w:val="24"/>
        </w:rPr>
        <w:t>Shipments</w:t>
      </w:r>
      <w:r w:rsidR="009A0C28">
        <w:rPr>
          <w:b/>
          <w:color w:val="000000"/>
          <w:sz w:val="24"/>
        </w:rPr>
        <w:t xml:space="preserve"> </w:t>
      </w:r>
      <w:r w:rsidR="00086A16">
        <w:rPr>
          <w:b/>
          <w:color w:val="000000"/>
          <w:sz w:val="24"/>
        </w:rPr>
        <w:t>Grew</w:t>
      </w:r>
      <w:r w:rsidR="00E63C56">
        <w:rPr>
          <w:b/>
          <w:color w:val="000000"/>
          <w:sz w:val="24"/>
        </w:rPr>
        <w:t xml:space="preserve"> 3.6</w:t>
      </w:r>
      <w:r w:rsidR="00533C74">
        <w:rPr>
          <w:b/>
          <w:color w:val="000000"/>
          <w:sz w:val="24"/>
        </w:rPr>
        <w:t xml:space="preserve"> </w:t>
      </w:r>
      <w:r w:rsidR="00473566">
        <w:rPr>
          <w:b/>
          <w:color w:val="000000"/>
          <w:sz w:val="24"/>
        </w:rPr>
        <w:t>Per C</w:t>
      </w:r>
      <w:r w:rsidR="00086A16">
        <w:rPr>
          <w:b/>
          <w:color w:val="000000"/>
          <w:sz w:val="24"/>
        </w:rPr>
        <w:t>ent</w:t>
      </w:r>
      <w:r w:rsidR="00E63C56">
        <w:rPr>
          <w:b/>
          <w:color w:val="000000"/>
          <w:sz w:val="24"/>
        </w:rPr>
        <w:t>; Revenue</w:t>
      </w:r>
      <w:r w:rsidR="00E3568B">
        <w:rPr>
          <w:b/>
          <w:color w:val="000000"/>
          <w:sz w:val="24"/>
        </w:rPr>
        <w:t xml:space="preserve"> </w:t>
      </w:r>
      <w:r w:rsidR="00473566">
        <w:rPr>
          <w:b/>
          <w:color w:val="000000"/>
          <w:sz w:val="24"/>
        </w:rPr>
        <w:t>Declined 2.8 Per C</w:t>
      </w:r>
      <w:r w:rsidR="00E63C56">
        <w:rPr>
          <w:b/>
          <w:color w:val="000000"/>
          <w:sz w:val="24"/>
        </w:rPr>
        <w:t xml:space="preserve">ent </w:t>
      </w:r>
      <w:r w:rsidR="00E3568B">
        <w:rPr>
          <w:b/>
          <w:color w:val="000000"/>
          <w:sz w:val="24"/>
        </w:rPr>
        <w:t>i</w:t>
      </w:r>
      <w:r w:rsidR="009A0C28">
        <w:rPr>
          <w:b/>
          <w:color w:val="000000"/>
          <w:sz w:val="24"/>
        </w:rPr>
        <w:t xml:space="preserve">n </w:t>
      </w:r>
      <w:r w:rsidR="00E3568B">
        <w:rPr>
          <w:b/>
          <w:color w:val="000000"/>
          <w:sz w:val="24"/>
        </w:rPr>
        <w:t xml:space="preserve">the </w:t>
      </w:r>
      <w:r w:rsidR="008D0143">
        <w:rPr>
          <w:b/>
          <w:color w:val="000000"/>
          <w:sz w:val="24"/>
        </w:rPr>
        <w:t>Third</w:t>
      </w:r>
      <w:r w:rsidR="00D4671E">
        <w:rPr>
          <w:b/>
          <w:color w:val="000000"/>
          <w:sz w:val="24"/>
        </w:rPr>
        <w:t xml:space="preserve"> </w:t>
      </w:r>
      <w:r w:rsidR="00E3568B">
        <w:rPr>
          <w:b/>
          <w:color w:val="000000"/>
          <w:sz w:val="24"/>
        </w:rPr>
        <w:t xml:space="preserve">Quarter of </w:t>
      </w:r>
      <w:r w:rsidR="002D0158">
        <w:rPr>
          <w:b/>
          <w:color w:val="000000"/>
          <w:sz w:val="24"/>
        </w:rPr>
        <w:t>2012</w:t>
      </w:r>
      <w:r w:rsidR="009A0C28">
        <w:rPr>
          <w:b/>
          <w:color w:val="000000"/>
          <w:sz w:val="24"/>
        </w:rPr>
        <w:t xml:space="preserve"> </w:t>
      </w:r>
    </w:p>
    <w:p w:rsidR="00473566" w:rsidRDefault="00473566">
      <w:pPr>
        <w:spacing w:after="120"/>
        <w:jc w:val="center"/>
        <w:rPr>
          <w:b/>
          <w:color w:val="000000"/>
          <w:sz w:val="24"/>
        </w:rPr>
      </w:pPr>
      <w:r>
        <w:rPr>
          <w:b/>
          <w:color w:val="000000"/>
          <w:sz w:val="24"/>
        </w:rPr>
        <w:t>In EMEA</w:t>
      </w:r>
      <w:r w:rsidR="0031512C">
        <w:rPr>
          <w:b/>
          <w:color w:val="000000"/>
          <w:sz w:val="24"/>
        </w:rPr>
        <w:t>,</w:t>
      </w:r>
      <w:r>
        <w:rPr>
          <w:b/>
          <w:color w:val="000000"/>
          <w:sz w:val="24"/>
        </w:rPr>
        <w:t xml:space="preserve"> Server Shipments and Revenue Declined</w:t>
      </w:r>
      <w:r w:rsidR="00DC6466">
        <w:rPr>
          <w:b/>
          <w:color w:val="000000"/>
          <w:sz w:val="24"/>
        </w:rPr>
        <w:t xml:space="preserve"> in the Third Quarter of 2012</w:t>
      </w:r>
    </w:p>
    <w:p w:rsidR="00A3010D" w:rsidRDefault="00A3010D">
      <w:pPr>
        <w:pStyle w:val="contact"/>
        <w:tabs>
          <w:tab w:val="clear" w:pos="9180"/>
        </w:tabs>
        <w:rPr>
          <w:rFonts w:ascii="Arial" w:hAnsi="Arial"/>
          <w:szCs w:val="22"/>
        </w:rPr>
      </w:pPr>
    </w:p>
    <w:p w:rsidR="00853605" w:rsidRPr="00853605" w:rsidRDefault="00853605">
      <w:pPr>
        <w:pStyle w:val="contact"/>
        <w:tabs>
          <w:tab w:val="clear" w:pos="9180"/>
        </w:tabs>
        <w:rPr>
          <w:rFonts w:ascii="Arial" w:hAnsi="Arial"/>
          <w:szCs w:val="22"/>
        </w:rPr>
      </w:pPr>
      <w:r w:rsidRPr="00853605">
        <w:rPr>
          <w:rFonts w:ascii="Arial" w:hAnsi="Arial"/>
          <w:szCs w:val="22"/>
        </w:rPr>
        <w:t>STAMFORD, Conn</w:t>
      </w:r>
      <w:r w:rsidR="006F4AAD">
        <w:rPr>
          <w:rFonts w:ascii="Arial" w:hAnsi="Arial"/>
          <w:szCs w:val="22"/>
        </w:rPr>
        <w:t xml:space="preserve">, </w:t>
      </w:r>
      <w:r w:rsidR="008D0143">
        <w:rPr>
          <w:rFonts w:ascii="Arial" w:hAnsi="Arial"/>
          <w:szCs w:val="22"/>
        </w:rPr>
        <w:t xml:space="preserve">November </w:t>
      </w:r>
      <w:r w:rsidR="005C647D">
        <w:rPr>
          <w:rFonts w:ascii="Arial" w:hAnsi="Arial"/>
          <w:szCs w:val="22"/>
        </w:rPr>
        <w:t>28</w:t>
      </w:r>
      <w:r w:rsidR="008D0143">
        <w:rPr>
          <w:rFonts w:ascii="Arial" w:hAnsi="Arial"/>
          <w:szCs w:val="22"/>
        </w:rPr>
        <w:t xml:space="preserve">, 2012 — </w:t>
      </w:r>
      <w:r w:rsidR="00E63C56">
        <w:rPr>
          <w:rFonts w:ascii="Arial" w:hAnsi="Arial"/>
          <w:szCs w:val="22"/>
        </w:rPr>
        <w:t>In the third</w:t>
      </w:r>
      <w:r w:rsidR="00142CBF">
        <w:rPr>
          <w:rFonts w:ascii="Arial" w:hAnsi="Arial"/>
          <w:szCs w:val="22"/>
        </w:rPr>
        <w:t xml:space="preserve"> quarter </w:t>
      </w:r>
      <w:r w:rsidR="00E63C56">
        <w:rPr>
          <w:rFonts w:ascii="Arial" w:hAnsi="Arial"/>
          <w:szCs w:val="22"/>
        </w:rPr>
        <w:t xml:space="preserve">of </w:t>
      </w:r>
      <w:r w:rsidR="00142CBF">
        <w:rPr>
          <w:rFonts w:ascii="Arial" w:hAnsi="Arial"/>
          <w:szCs w:val="22"/>
        </w:rPr>
        <w:t>2012</w:t>
      </w:r>
      <w:r w:rsidRPr="00853605">
        <w:rPr>
          <w:rFonts w:ascii="Arial" w:hAnsi="Arial"/>
          <w:szCs w:val="22"/>
        </w:rPr>
        <w:t xml:space="preserve"> worl</w:t>
      </w:r>
      <w:r w:rsidR="00052B1A">
        <w:rPr>
          <w:rFonts w:ascii="Arial" w:hAnsi="Arial"/>
          <w:szCs w:val="22"/>
        </w:rPr>
        <w:t>dwide server shipment</w:t>
      </w:r>
      <w:r w:rsidR="00CB69F5">
        <w:rPr>
          <w:rFonts w:ascii="Arial" w:hAnsi="Arial"/>
          <w:szCs w:val="22"/>
        </w:rPr>
        <w:t xml:space="preserve">s </w:t>
      </w:r>
      <w:r w:rsidR="00142CBF">
        <w:rPr>
          <w:rFonts w:ascii="Arial" w:hAnsi="Arial"/>
          <w:szCs w:val="22"/>
        </w:rPr>
        <w:t xml:space="preserve">grew </w:t>
      </w:r>
      <w:r w:rsidR="00E63C56">
        <w:rPr>
          <w:rFonts w:ascii="Arial" w:hAnsi="Arial"/>
          <w:szCs w:val="22"/>
        </w:rPr>
        <w:t>3.6</w:t>
      </w:r>
      <w:r w:rsidR="00FA53B0">
        <w:rPr>
          <w:rFonts w:ascii="Arial" w:hAnsi="Arial"/>
          <w:szCs w:val="22"/>
        </w:rPr>
        <w:t xml:space="preserve"> per</w:t>
      </w:r>
      <w:r w:rsidR="00473566">
        <w:rPr>
          <w:rFonts w:ascii="Arial" w:hAnsi="Arial"/>
          <w:szCs w:val="22"/>
        </w:rPr>
        <w:t xml:space="preserve"> </w:t>
      </w:r>
      <w:r w:rsidR="00FA53B0">
        <w:rPr>
          <w:rFonts w:ascii="Arial" w:hAnsi="Arial"/>
          <w:szCs w:val="22"/>
        </w:rPr>
        <w:t>cent year-on-</w:t>
      </w:r>
      <w:r w:rsidR="00CB69F5">
        <w:rPr>
          <w:rFonts w:ascii="Arial" w:hAnsi="Arial"/>
          <w:szCs w:val="22"/>
        </w:rPr>
        <w:t xml:space="preserve">year, while revenue </w:t>
      </w:r>
      <w:r w:rsidR="00E63C56">
        <w:rPr>
          <w:rFonts w:ascii="Arial" w:hAnsi="Arial"/>
          <w:szCs w:val="22"/>
        </w:rPr>
        <w:t>decreased 2.8</w:t>
      </w:r>
      <w:r w:rsidR="00473566">
        <w:rPr>
          <w:rFonts w:ascii="Arial" w:hAnsi="Arial"/>
          <w:szCs w:val="22"/>
        </w:rPr>
        <w:t xml:space="preserve"> per cent</w:t>
      </w:r>
      <w:r w:rsidR="00E63C56">
        <w:rPr>
          <w:rFonts w:ascii="Arial" w:hAnsi="Arial"/>
          <w:szCs w:val="22"/>
        </w:rPr>
        <w:t xml:space="preserve"> from the third quarter of 2011, according to Gartner, Inc. </w:t>
      </w:r>
      <w:r w:rsidRPr="00853605">
        <w:rPr>
          <w:rFonts w:ascii="Arial" w:hAnsi="Arial"/>
          <w:szCs w:val="22"/>
        </w:rPr>
        <w:t xml:space="preserve"> </w:t>
      </w:r>
    </w:p>
    <w:p w:rsidR="00853605" w:rsidRDefault="00853605">
      <w:pPr>
        <w:pStyle w:val="contact"/>
        <w:tabs>
          <w:tab w:val="clear" w:pos="9180"/>
        </w:tabs>
        <w:rPr>
          <w:rFonts w:ascii="Arial" w:hAnsi="Arial"/>
          <w:szCs w:val="22"/>
        </w:rPr>
      </w:pPr>
    </w:p>
    <w:p w:rsidR="008C5234" w:rsidRDefault="008C5234" w:rsidP="008C5234">
      <w:pPr>
        <w:pStyle w:val="contact"/>
        <w:rPr>
          <w:rFonts w:ascii="Arial" w:hAnsi="Arial" w:cs="Arial"/>
          <w:lang w:val="en-GB"/>
        </w:rPr>
      </w:pPr>
      <w:r>
        <w:rPr>
          <w:rFonts w:ascii="Arial" w:hAnsi="Arial" w:cs="Arial"/>
          <w:lang w:val="en-GB"/>
        </w:rPr>
        <w:t>“The third quarter of 2012 again produced shipment growth on a worldwide level, but server revenue was weak due to ongoing economic weakness and market segment differences,” said Jeffrey Hewitt, research vice president at Gartner. “Only the North America and Asia/Pacific regions managed any revenue growth, and even those were essentially flat year</w:t>
      </w:r>
      <w:r w:rsidR="00473566">
        <w:rPr>
          <w:rFonts w:ascii="Arial" w:hAnsi="Arial" w:cs="Arial"/>
          <w:lang w:val="en-GB"/>
        </w:rPr>
        <w:t>-</w:t>
      </w:r>
      <w:r>
        <w:rPr>
          <w:rFonts w:ascii="Arial" w:hAnsi="Arial" w:cs="Arial"/>
          <w:lang w:val="en-GB"/>
        </w:rPr>
        <w:t>to</w:t>
      </w:r>
      <w:r w:rsidR="00473566">
        <w:rPr>
          <w:rFonts w:ascii="Arial" w:hAnsi="Arial" w:cs="Arial"/>
          <w:lang w:val="en-GB"/>
        </w:rPr>
        <w:t>-</w:t>
      </w:r>
      <w:r>
        <w:rPr>
          <w:rFonts w:ascii="Arial" w:hAnsi="Arial" w:cs="Arial"/>
          <w:lang w:val="en-GB"/>
        </w:rPr>
        <w:t>year, with North America showing a 1.1 per</w:t>
      </w:r>
      <w:r w:rsidR="00473566">
        <w:rPr>
          <w:rFonts w:ascii="Arial" w:hAnsi="Arial" w:cs="Arial"/>
          <w:lang w:val="en-GB"/>
        </w:rPr>
        <w:t xml:space="preserve"> </w:t>
      </w:r>
      <w:r>
        <w:rPr>
          <w:rFonts w:ascii="Arial" w:hAnsi="Arial" w:cs="Arial"/>
          <w:lang w:val="en-GB"/>
        </w:rPr>
        <w:t>cent increase and Asia/Pacific a 0.7 per</w:t>
      </w:r>
      <w:r w:rsidR="00473566">
        <w:rPr>
          <w:rFonts w:ascii="Arial" w:hAnsi="Arial" w:cs="Arial"/>
          <w:lang w:val="en-GB"/>
        </w:rPr>
        <w:t xml:space="preserve"> </w:t>
      </w:r>
      <w:r>
        <w:rPr>
          <w:rFonts w:ascii="Arial" w:hAnsi="Arial" w:cs="Arial"/>
          <w:lang w:val="en-GB"/>
        </w:rPr>
        <w:t>cent increase. The picture in terms of shipments was slightly more positive with North America, Latin America and Asia/Pacific all growing, but both EMEA and Japan continue to struggle and both saw shipments contract, compared to the same period last year.”</w:t>
      </w:r>
    </w:p>
    <w:p w:rsidR="00853605" w:rsidRPr="00853605" w:rsidRDefault="00853605" w:rsidP="00853605">
      <w:pPr>
        <w:pStyle w:val="contact"/>
        <w:rPr>
          <w:rFonts w:ascii="Arial" w:hAnsi="Arial"/>
          <w:szCs w:val="22"/>
        </w:rPr>
      </w:pPr>
    </w:p>
    <w:p w:rsidR="0059415D" w:rsidRDefault="000C7415">
      <w:pPr>
        <w:pStyle w:val="contact"/>
        <w:tabs>
          <w:tab w:val="clear" w:pos="9180"/>
        </w:tabs>
        <w:rPr>
          <w:rFonts w:ascii="Arial" w:hAnsi="Arial"/>
          <w:szCs w:val="22"/>
        </w:rPr>
      </w:pPr>
      <w:r>
        <w:rPr>
          <w:rFonts w:ascii="Arial" w:hAnsi="Arial"/>
          <w:szCs w:val="22"/>
        </w:rPr>
        <w:t>“</w:t>
      </w:r>
      <w:r w:rsidR="00F21E98">
        <w:rPr>
          <w:rFonts w:ascii="Arial" w:hAnsi="Arial"/>
          <w:szCs w:val="22"/>
        </w:rPr>
        <w:t>x86 server</w:t>
      </w:r>
      <w:r w:rsidR="00E63C56">
        <w:rPr>
          <w:rFonts w:ascii="Arial" w:hAnsi="Arial"/>
          <w:szCs w:val="22"/>
        </w:rPr>
        <w:t xml:space="preserve"> shipments grew 4.3 per</w:t>
      </w:r>
      <w:r w:rsidR="00473566">
        <w:rPr>
          <w:rFonts w:ascii="Arial" w:hAnsi="Arial"/>
          <w:szCs w:val="22"/>
        </w:rPr>
        <w:t xml:space="preserve"> </w:t>
      </w:r>
      <w:r w:rsidR="00E63C56">
        <w:rPr>
          <w:rFonts w:ascii="Arial" w:hAnsi="Arial"/>
          <w:szCs w:val="22"/>
        </w:rPr>
        <w:t>cent in the third quarter of 2012, and revenue increased 4 per</w:t>
      </w:r>
      <w:r w:rsidR="00473566">
        <w:rPr>
          <w:rFonts w:ascii="Arial" w:hAnsi="Arial"/>
          <w:szCs w:val="22"/>
        </w:rPr>
        <w:t xml:space="preserve"> </w:t>
      </w:r>
      <w:r w:rsidR="00E63C56">
        <w:rPr>
          <w:rFonts w:ascii="Arial" w:hAnsi="Arial"/>
          <w:szCs w:val="22"/>
        </w:rPr>
        <w:t xml:space="preserve">cent from the third quarter of 2011. </w:t>
      </w:r>
      <w:r w:rsidR="00555219">
        <w:rPr>
          <w:rFonts w:ascii="Arial" w:hAnsi="Arial"/>
          <w:szCs w:val="22"/>
        </w:rPr>
        <w:t xml:space="preserve">RISC/Itanium </w:t>
      </w:r>
      <w:r w:rsidR="00CB69F5">
        <w:rPr>
          <w:rFonts w:ascii="Arial" w:hAnsi="Arial"/>
          <w:szCs w:val="22"/>
        </w:rPr>
        <w:t xml:space="preserve">Unix servers </w:t>
      </w:r>
      <w:r w:rsidR="00D4671E">
        <w:rPr>
          <w:rFonts w:ascii="Arial" w:hAnsi="Arial"/>
          <w:szCs w:val="22"/>
        </w:rPr>
        <w:t>continued to fa</w:t>
      </w:r>
      <w:r w:rsidR="00751F74">
        <w:rPr>
          <w:rFonts w:ascii="Arial" w:hAnsi="Arial"/>
          <w:szCs w:val="22"/>
        </w:rPr>
        <w:t>ll</w:t>
      </w:r>
      <w:r w:rsidR="009F3EE3">
        <w:rPr>
          <w:rFonts w:ascii="Arial" w:hAnsi="Arial"/>
          <w:szCs w:val="22"/>
        </w:rPr>
        <w:t xml:space="preserve"> globally </w:t>
      </w:r>
      <w:r w:rsidR="00D4671E">
        <w:rPr>
          <w:rFonts w:ascii="Arial" w:hAnsi="Arial"/>
          <w:szCs w:val="22"/>
        </w:rPr>
        <w:t>for the period</w:t>
      </w:r>
      <w:r w:rsidR="00CB69F5">
        <w:rPr>
          <w:rFonts w:ascii="Arial" w:hAnsi="Arial"/>
          <w:szCs w:val="22"/>
        </w:rPr>
        <w:t xml:space="preserve"> </w:t>
      </w:r>
      <w:r w:rsidR="00142CBF">
        <w:rPr>
          <w:rFonts w:ascii="Arial" w:hAnsi="Arial"/>
          <w:szCs w:val="22"/>
        </w:rPr>
        <w:t>–</w:t>
      </w:r>
      <w:r w:rsidR="00972147">
        <w:rPr>
          <w:rFonts w:ascii="Arial" w:hAnsi="Arial"/>
          <w:szCs w:val="22"/>
        </w:rPr>
        <w:t xml:space="preserve"> a 31.1 per</w:t>
      </w:r>
      <w:r w:rsidR="00473566">
        <w:rPr>
          <w:rFonts w:ascii="Arial" w:hAnsi="Arial"/>
          <w:szCs w:val="22"/>
        </w:rPr>
        <w:t xml:space="preserve"> </w:t>
      </w:r>
      <w:r w:rsidR="00972147">
        <w:rPr>
          <w:rFonts w:ascii="Arial" w:hAnsi="Arial"/>
          <w:szCs w:val="22"/>
        </w:rPr>
        <w:t>cent decline in shipments and a decrease of 16.4 per</w:t>
      </w:r>
      <w:r w:rsidR="00473566">
        <w:rPr>
          <w:rFonts w:ascii="Arial" w:hAnsi="Arial"/>
          <w:szCs w:val="22"/>
        </w:rPr>
        <w:t xml:space="preserve"> </w:t>
      </w:r>
      <w:r w:rsidR="00972147">
        <w:rPr>
          <w:rFonts w:ascii="Arial" w:hAnsi="Arial"/>
          <w:szCs w:val="22"/>
        </w:rPr>
        <w:t xml:space="preserve">cent in revenue </w:t>
      </w:r>
      <w:r w:rsidR="00BA20CA">
        <w:rPr>
          <w:rFonts w:ascii="Arial" w:hAnsi="Arial"/>
          <w:szCs w:val="22"/>
        </w:rPr>
        <w:t>compared to the same quarter last year</w:t>
      </w:r>
      <w:r w:rsidR="00972147">
        <w:rPr>
          <w:rFonts w:ascii="Arial" w:hAnsi="Arial"/>
          <w:szCs w:val="22"/>
        </w:rPr>
        <w:t xml:space="preserve">. </w:t>
      </w:r>
      <w:r w:rsidR="00977586">
        <w:rPr>
          <w:rFonts w:ascii="Arial" w:hAnsi="Arial"/>
          <w:szCs w:val="22"/>
        </w:rPr>
        <w:t>T</w:t>
      </w:r>
      <w:r w:rsidR="00555219">
        <w:rPr>
          <w:rFonts w:ascii="Arial" w:hAnsi="Arial"/>
          <w:szCs w:val="22"/>
        </w:rPr>
        <w:t xml:space="preserve">he </w:t>
      </w:r>
      <w:r w:rsidR="007839B2">
        <w:rPr>
          <w:rFonts w:ascii="Arial" w:hAnsi="Arial"/>
          <w:szCs w:val="22"/>
        </w:rPr>
        <w:t>‘</w:t>
      </w:r>
      <w:r w:rsidR="00555219">
        <w:rPr>
          <w:rFonts w:ascii="Arial" w:hAnsi="Arial"/>
          <w:szCs w:val="22"/>
        </w:rPr>
        <w:t>other</w:t>
      </w:r>
      <w:r w:rsidR="007839B2">
        <w:rPr>
          <w:rFonts w:ascii="Arial" w:hAnsi="Arial"/>
          <w:szCs w:val="22"/>
        </w:rPr>
        <w:t>’</w:t>
      </w:r>
      <w:r w:rsidR="00555219">
        <w:rPr>
          <w:rFonts w:ascii="Arial" w:hAnsi="Arial"/>
          <w:szCs w:val="22"/>
        </w:rPr>
        <w:t xml:space="preserve"> CPU category</w:t>
      </w:r>
      <w:r w:rsidR="00977586">
        <w:rPr>
          <w:rFonts w:ascii="Arial" w:hAnsi="Arial"/>
          <w:szCs w:val="22"/>
        </w:rPr>
        <w:t>,</w:t>
      </w:r>
      <w:r w:rsidR="00555219">
        <w:rPr>
          <w:rFonts w:ascii="Arial" w:hAnsi="Arial"/>
          <w:szCs w:val="22"/>
        </w:rPr>
        <w:t xml:space="preserve"> which is primarily mainframes</w:t>
      </w:r>
      <w:r w:rsidR="00846039">
        <w:rPr>
          <w:rFonts w:ascii="Arial" w:hAnsi="Arial"/>
          <w:szCs w:val="22"/>
        </w:rPr>
        <w:t>,</w:t>
      </w:r>
      <w:r w:rsidR="00751F74">
        <w:rPr>
          <w:rFonts w:ascii="Arial" w:hAnsi="Arial"/>
          <w:szCs w:val="22"/>
        </w:rPr>
        <w:t xml:space="preserve"> showed a decline </w:t>
      </w:r>
      <w:r w:rsidR="00142CBF">
        <w:rPr>
          <w:rFonts w:ascii="Arial" w:hAnsi="Arial"/>
          <w:szCs w:val="22"/>
        </w:rPr>
        <w:t xml:space="preserve">of </w:t>
      </w:r>
      <w:r w:rsidR="00566E36" w:rsidRPr="00D730BF">
        <w:rPr>
          <w:rFonts w:ascii="Arial" w:hAnsi="Arial"/>
          <w:szCs w:val="22"/>
        </w:rPr>
        <w:t>17</w:t>
      </w:r>
      <w:r w:rsidR="00977586">
        <w:rPr>
          <w:rFonts w:ascii="Arial" w:hAnsi="Arial"/>
          <w:szCs w:val="22"/>
        </w:rPr>
        <w:t xml:space="preserve"> per</w:t>
      </w:r>
      <w:r w:rsidR="00473566">
        <w:rPr>
          <w:rFonts w:ascii="Arial" w:hAnsi="Arial"/>
          <w:szCs w:val="22"/>
        </w:rPr>
        <w:t xml:space="preserve"> </w:t>
      </w:r>
      <w:r w:rsidR="00977586">
        <w:rPr>
          <w:rFonts w:ascii="Arial" w:hAnsi="Arial"/>
          <w:szCs w:val="22"/>
        </w:rPr>
        <w:t>cent</w:t>
      </w:r>
      <w:r w:rsidR="00566E36">
        <w:rPr>
          <w:rFonts w:ascii="Arial" w:hAnsi="Arial"/>
          <w:szCs w:val="22"/>
        </w:rPr>
        <w:t xml:space="preserve"> in terms of revenue</w:t>
      </w:r>
      <w:r w:rsidR="00473566">
        <w:rPr>
          <w:rFonts w:ascii="Arial" w:hAnsi="Arial" w:cs="Courier New"/>
          <w:szCs w:val="22"/>
        </w:rPr>
        <w:t>,” Mr</w:t>
      </w:r>
      <w:r>
        <w:rPr>
          <w:rFonts w:ascii="Arial" w:hAnsi="Arial" w:cs="Courier New"/>
          <w:szCs w:val="22"/>
        </w:rPr>
        <w:t xml:space="preserve"> Hewitt</w:t>
      </w:r>
      <w:r w:rsidR="0059415D" w:rsidRPr="00EA4894">
        <w:rPr>
          <w:rFonts w:ascii="Arial" w:hAnsi="Arial" w:cs="Courier New"/>
          <w:szCs w:val="22"/>
        </w:rPr>
        <w:t xml:space="preserve"> said.</w:t>
      </w:r>
    </w:p>
    <w:p w:rsidR="00853605" w:rsidRPr="00853605" w:rsidRDefault="00853605" w:rsidP="00853605">
      <w:pPr>
        <w:pStyle w:val="contact"/>
        <w:rPr>
          <w:rFonts w:ascii="Arial" w:hAnsi="Arial"/>
          <w:szCs w:val="22"/>
        </w:rPr>
      </w:pPr>
    </w:p>
    <w:p w:rsidR="00853605" w:rsidRDefault="00DF3F5A" w:rsidP="00853605">
      <w:pPr>
        <w:pStyle w:val="contact"/>
        <w:rPr>
          <w:rFonts w:ascii="Arial" w:hAnsi="Arial"/>
          <w:szCs w:val="22"/>
        </w:rPr>
      </w:pPr>
      <w:r>
        <w:rPr>
          <w:rFonts w:ascii="Arial" w:hAnsi="Arial"/>
          <w:szCs w:val="22"/>
        </w:rPr>
        <w:t xml:space="preserve">From the regional standpoint, </w:t>
      </w:r>
      <w:r w:rsidR="00566E36" w:rsidRPr="00B67027">
        <w:rPr>
          <w:rFonts w:ascii="Arial" w:hAnsi="Arial"/>
          <w:szCs w:val="22"/>
        </w:rPr>
        <w:t>North America</w:t>
      </w:r>
      <w:r w:rsidR="001E673F">
        <w:rPr>
          <w:rFonts w:ascii="Arial" w:hAnsi="Arial"/>
          <w:szCs w:val="22"/>
        </w:rPr>
        <w:t xml:space="preserve"> </w:t>
      </w:r>
      <w:r>
        <w:rPr>
          <w:rFonts w:ascii="Arial" w:hAnsi="Arial"/>
          <w:szCs w:val="22"/>
        </w:rPr>
        <w:t>grew</w:t>
      </w:r>
      <w:r w:rsidR="001E673F">
        <w:rPr>
          <w:rFonts w:ascii="Arial" w:hAnsi="Arial"/>
          <w:szCs w:val="22"/>
        </w:rPr>
        <w:t xml:space="preserve"> the most </w:t>
      </w:r>
      <w:r w:rsidR="00555219">
        <w:rPr>
          <w:rFonts w:ascii="Arial" w:hAnsi="Arial"/>
          <w:szCs w:val="22"/>
        </w:rPr>
        <w:t xml:space="preserve">in shipments </w:t>
      </w:r>
      <w:r>
        <w:rPr>
          <w:rFonts w:ascii="Arial" w:hAnsi="Arial"/>
          <w:szCs w:val="22"/>
        </w:rPr>
        <w:t>with a</w:t>
      </w:r>
      <w:r w:rsidR="00751F74">
        <w:rPr>
          <w:rFonts w:ascii="Arial" w:hAnsi="Arial"/>
          <w:szCs w:val="22"/>
        </w:rPr>
        <w:t xml:space="preserve"> </w:t>
      </w:r>
      <w:r w:rsidR="00566E36">
        <w:rPr>
          <w:rFonts w:ascii="Arial" w:hAnsi="Arial"/>
          <w:szCs w:val="22"/>
        </w:rPr>
        <w:t>7.4</w:t>
      </w:r>
      <w:r w:rsidR="00473566">
        <w:rPr>
          <w:rFonts w:ascii="Arial" w:hAnsi="Arial"/>
          <w:szCs w:val="22"/>
        </w:rPr>
        <w:t xml:space="preserve"> </w:t>
      </w:r>
      <w:r w:rsidR="00453CE0">
        <w:rPr>
          <w:rFonts w:ascii="Arial" w:hAnsi="Arial"/>
          <w:szCs w:val="22"/>
        </w:rPr>
        <w:t>per</w:t>
      </w:r>
      <w:r w:rsidR="00473566">
        <w:rPr>
          <w:rFonts w:ascii="Arial" w:hAnsi="Arial"/>
          <w:szCs w:val="22"/>
        </w:rPr>
        <w:t xml:space="preserve"> </w:t>
      </w:r>
      <w:r w:rsidR="00453CE0">
        <w:rPr>
          <w:rFonts w:ascii="Arial" w:hAnsi="Arial"/>
          <w:szCs w:val="22"/>
        </w:rPr>
        <w:t xml:space="preserve">cent </w:t>
      </w:r>
      <w:r>
        <w:rPr>
          <w:rFonts w:ascii="Arial" w:hAnsi="Arial"/>
          <w:szCs w:val="22"/>
        </w:rPr>
        <w:t>i</w:t>
      </w:r>
      <w:r w:rsidR="005C1894">
        <w:rPr>
          <w:rFonts w:ascii="Arial" w:hAnsi="Arial"/>
          <w:szCs w:val="22"/>
        </w:rPr>
        <w:t>ncrease</w:t>
      </w:r>
      <w:r w:rsidR="00617E9A">
        <w:rPr>
          <w:rFonts w:ascii="Arial" w:hAnsi="Arial"/>
          <w:szCs w:val="22"/>
        </w:rPr>
        <w:t xml:space="preserve">. </w:t>
      </w:r>
      <w:r w:rsidR="00566E36">
        <w:rPr>
          <w:rFonts w:ascii="Arial" w:hAnsi="Arial"/>
          <w:szCs w:val="22"/>
        </w:rPr>
        <w:t>The region also</w:t>
      </w:r>
      <w:r w:rsidR="00B43332">
        <w:rPr>
          <w:rFonts w:ascii="Arial" w:hAnsi="Arial"/>
          <w:szCs w:val="22"/>
        </w:rPr>
        <w:t xml:space="preserve"> </w:t>
      </w:r>
      <w:r w:rsidR="00617E9A">
        <w:rPr>
          <w:rFonts w:ascii="Arial" w:hAnsi="Arial"/>
          <w:szCs w:val="22"/>
        </w:rPr>
        <w:t xml:space="preserve">posted </w:t>
      </w:r>
      <w:r w:rsidR="005C1894">
        <w:rPr>
          <w:rFonts w:ascii="Arial" w:hAnsi="Arial"/>
          <w:szCs w:val="22"/>
        </w:rPr>
        <w:t>the</w:t>
      </w:r>
      <w:r w:rsidR="00555219">
        <w:rPr>
          <w:rFonts w:ascii="Arial" w:hAnsi="Arial"/>
          <w:szCs w:val="22"/>
        </w:rPr>
        <w:t xml:space="preserve"> highe</w:t>
      </w:r>
      <w:r w:rsidR="005C1894">
        <w:rPr>
          <w:rFonts w:ascii="Arial" w:hAnsi="Arial"/>
          <w:szCs w:val="22"/>
        </w:rPr>
        <w:t xml:space="preserve">st vendor revenue growth at </w:t>
      </w:r>
      <w:r w:rsidR="00566E36" w:rsidRPr="00B67027">
        <w:rPr>
          <w:rFonts w:ascii="Arial" w:hAnsi="Arial"/>
          <w:szCs w:val="22"/>
        </w:rPr>
        <w:t>1.1</w:t>
      </w:r>
      <w:r w:rsidR="00555219">
        <w:rPr>
          <w:rFonts w:ascii="Arial" w:hAnsi="Arial"/>
          <w:szCs w:val="22"/>
        </w:rPr>
        <w:t xml:space="preserve"> per</w:t>
      </w:r>
      <w:r w:rsidR="00473566">
        <w:rPr>
          <w:rFonts w:ascii="Arial" w:hAnsi="Arial"/>
          <w:szCs w:val="22"/>
        </w:rPr>
        <w:t xml:space="preserve"> </w:t>
      </w:r>
      <w:r w:rsidR="00555219">
        <w:rPr>
          <w:rFonts w:ascii="Arial" w:hAnsi="Arial"/>
          <w:szCs w:val="22"/>
        </w:rPr>
        <w:t>cent for the period</w:t>
      </w:r>
      <w:r w:rsidR="00453CE0">
        <w:rPr>
          <w:rFonts w:ascii="Arial" w:hAnsi="Arial"/>
          <w:szCs w:val="22"/>
        </w:rPr>
        <w:t xml:space="preserve">.  </w:t>
      </w:r>
    </w:p>
    <w:p w:rsidR="00617E9A" w:rsidRPr="00853605" w:rsidRDefault="00617E9A" w:rsidP="00853605">
      <w:pPr>
        <w:pStyle w:val="contact"/>
        <w:rPr>
          <w:rFonts w:ascii="Arial" w:hAnsi="Arial"/>
          <w:szCs w:val="22"/>
        </w:rPr>
      </w:pPr>
    </w:p>
    <w:p w:rsidR="009A685E" w:rsidRDefault="00B80B07" w:rsidP="004D4CAE">
      <w:pPr>
        <w:pStyle w:val="contact"/>
        <w:tabs>
          <w:tab w:val="clear" w:pos="9180"/>
        </w:tabs>
        <w:rPr>
          <w:rFonts w:ascii="Arial" w:hAnsi="Arial"/>
        </w:rPr>
      </w:pPr>
      <w:r>
        <w:rPr>
          <w:rFonts w:ascii="Arial" w:hAnsi="Arial"/>
        </w:rPr>
        <w:t>Four</w:t>
      </w:r>
      <w:r w:rsidR="000E0108">
        <w:rPr>
          <w:rFonts w:ascii="Arial" w:hAnsi="Arial"/>
        </w:rPr>
        <w:t xml:space="preserve"> of the top five global vendors had revenue decreases for the third quarter of 2012</w:t>
      </w:r>
      <w:r>
        <w:rPr>
          <w:rFonts w:ascii="Arial" w:hAnsi="Arial"/>
        </w:rPr>
        <w:t>. Dell was the only vendor among the top five to have its revenue increase in the third quarter</w:t>
      </w:r>
      <w:r w:rsidR="000E0108" w:rsidRPr="00853605">
        <w:rPr>
          <w:rFonts w:ascii="Arial" w:hAnsi="Arial"/>
        </w:rPr>
        <w:t xml:space="preserve">. </w:t>
      </w:r>
      <w:r w:rsidR="00142CBF">
        <w:rPr>
          <w:rFonts w:ascii="Arial" w:hAnsi="Arial"/>
        </w:rPr>
        <w:t>IBM had</w:t>
      </w:r>
      <w:r w:rsidR="00751F74">
        <w:rPr>
          <w:rFonts w:ascii="Arial" w:hAnsi="Arial"/>
        </w:rPr>
        <w:t xml:space="preserve"> the</w:t>
      </w:r>
      <w:r w:rsidR="00D52654">
        <w:rPr>
          <w:rFonts w:ascii="Arial" w:hAnsi="Arial"/>
        </w:rPr>
        <w:t xml:space="preserve"> </w:t>
      </w:r>
      <w:r w:rsidR="00751F74">
        <w:rPr>
          <w:rFonts w:ascii="Arial" w:hAnsi="Arial"/>
        </w:rPr>
        <w:t xml:space="preserve">lead </w:t>
      </w:r>
      <w:r w:rsidR="00D4671E">
        <w:rPr>
          <w:rFonts w:ascii="Arial" w:hAnsi="Arial"/>
        </w:rPr>
        <w:t xml:space="preserve">for the quarter </w:t>
      </w:r>
      <w:r w:rsidR="00751F74">
        <w:rPr>
          <w:rFonts w:ascii="Arial" w:hAnsi="Arial"/>
        </w:rPr>
        <w:t xml:space="preserve">in the </w:t>
      </w:r>
      <w:r w:rsidR="004D4CAE">
        <w:rPr>
          <w:rFonts w:ascii="Arial" w:hAnsi="Arial"/>
        </w:rPr>
        <w:t>worldwide server market based on revenue (see Table 1)</w:t>
      </w:r>
      <w:r w:rsidR="003D618B">
        <w:rPr>
          <w:rFonts w:ascii="Arial" w:hAnsi="Arial"/>
        </w:rPr>
        <w:t>--</w:t>
      </w:r>
      <w:r w:rsidR="000A5A17">
        <w:rPr>
          <w:rFonts w:ascii="Arial" w:hAnsi="Arial"/>
        </w:rPr>
        <w:t>the company posted</w:t>
      </w:r>
      <w:r w:rsidR="001E673F">
        <w:rPr>
          <w:rFonts w:ascii="Arial" w:hAnsi="Arial"/>
        </w:rPr>
        <w:t xml:space="preserve"> </w:t>
      </w:r>
      <w:r w:rsidR="000E0108">
        <w:rPr>
          <w:rFonts w:ascii="Arial" w:hAnsi="Arial"/>
        </w:rPr>
        <w:t xml:space="preserve">$3.5 </w:t>
      </w:r>
      <w:r w:rsidR="009A685E">
        <w:rPr>
          <w:rFonts w:ascii="Arial" w:hAnsi="Arial"/>
        </w:rPr>
        <w:t xml:space="preserve">billion </w:t>
      </w:r>
      <w:r w:rsidR="004D4CAE">
        <w:rPr>
          <w:rFonts w:ascii="Arial" w:hAnsi="Arial"/>
        </w:rPr>
        <w:t xml:space="preserve">in </w:t>
      </w:r>
      <w:r w:rsidR="001E673F">
        <w:rPr>
          <w:rFonts w:ascii="Arial" w:hAnsi="Arial"/>
        </w:rPr>
        <w:t xml:space="preserve">server vendor </w:t>
      </w:r>
      <w:r w:rsidR="004D4CAE">
        <w:rPr>
          <w:rFonts w:ascii="Arial" w:hAnsi="Arial"/>
        </w:rPr>
        <w:t>revenue</w:t>
      </w:r>
      <w:r w:rsidR="00FA53B0">
        <w:rPr>
          <w:rFonts w:ascii="Arial" w:hAnsi="Arial"/>
        </w:rPr>
        <w:t xml:space="preserve"> for a total share of </w:t>
      </w:r>
      <w:r w:rsidR="000E0108">
        <w:rPr>
          <w:rFonts w:ascii="Arial" w:hAnsi="Arial"/>
        </w:rPr>
        <w:t>27.6</w:t>
      </w:r>
      <w:r w:rsidR="00D52654">
        <w:rPr>
          <w:rFonts w:ascii="Arial" w:hAnsi="Arial"/>
        </w:rPr>
        <w:t xml:space="preserve"> per</w:t>
      </w:r>
      <w:r w:rsidR="00473566">
        <w:rPr>
          <w:rFonts w:ascii="Arial" w:hAnsi="Arial"/>
        </w:rPr>
        <w:t xml:space="preserve"> </w:t>
      </w:r>
      <w:r w:rsidR="00D52654">
        <w:rPr>
          <w:rFonts w:ascii="Arial" w:hAnsi="Arial"/>
        </w:rPr>
        <w:t>cent</w:t>
      </w:r>
      <w:r w:rsidR="000E0108">
        <w:rPr>
          <w:rFonts w:ascii="Arial" w:hAnsi="Arial"/>
        </w:rPr>
        <w:t>. IBM’s revenue was down 9.5 per</w:t>
      </w:r>
      <w:r w:rsidR="00473566">
        <w:rPr>
          <w:rFonts w:ascii="Arial" w:hAnsi="Arial"/>
        </w:rPr>
        <w:t xml:space="preserve"> </w:t>
      </w:r>
      <w:r w:rsidR="000E0108">
        <w:rPr>
          <w:rFonts w:ascii="Arial" w:hAnsi="Arial"/>
        </w:rPr>
        <w:t>cent</w:t>
      </w:r>
      <w:r w:rsidR="009A685E">
        <w:rPr>
          <w:rFonts w:ascii="Arial" w:hAnsi="Arial"/>
        </w:rPr>
        <w:t xml:space="preserve"> </w:t>
      </w:r>
      <w:r w:rsidR="00854464">
        <w:rPr>
          <w:rFonts w:ascii="Arial" w:hAnsi="Arial"/>
        </w:rPr>
        <w:t>year-on-</w:t>
      </w:r>
      <w:r w:rsidR="00D52654">
        <w:rPr>
          <w:rFonts w:ascii="Arial" w:hAnsi="Arial"/>
        </w:rPr>
        <w:t>year</w:t>
      </w:r>
      <w:r w:rsidR="009A685E">
        <w:rPr>
          <w:rFonts w:ascii="Arial" w:hAnsi="Arial"/>
        </w:rPr>
        <w:t>.</w:t>
      </w:r>
      <w:r w:rsidR="00FA53B0">
        <w:rPr>
          <w:rFonts w:ascii="Arial" w:hAnsi="Arial"/>
        </w:rPr>
        <w:t xml:space="preserve"> Most of IBM’s revenue </w:t>
      </w:r>
      <w:r w:rsidR="00142CBF">
        <w:rPr>
          <w:rFonts w:ascii="Arial" w:hAnsi="Arial"/>
        </w:rPr>
        <w:t>contribution</w:t>
      </w:r>
      <w:r w:rsidR="001666CA">
        <w:rPr>
          <w:rFonts w:ascii="Arial" w:hAnsi="Arial"/>
        </w:rPr>
        <w:t xml:space="preserve"> came from its </w:t>
      </w:r>
      <w:r w:rsidR="00BE7F0D">
        <w:rPr>
          <w:rFonts w:ascii="Arial" w:hAnsi="Arial"/>
        </w:rPr>
        <w:t xml:space="preserve">Power </w:t>
      </w:r>
      <w:r w:rsidR="000910F5">
        <w:rPr>
          <w:rFonts w:ascii="Arial" w:hAnsi="Arial"/>
        </w:rPr>
        <w:t>System</w:t>
      </w:r>
      <w:r w:rsidR="00BE7F0D">
        <w:rPr>
          <w:rFonts w:ascii="Arial" w:hAnsi="Arial"/>
        </w:rPr>
        <w:t>s</w:t>
      </w:r>
      <w:r w:rsidR="001666CA">
        <w:rPr>
          <w:rFonts w:ascii="Arial" w:hAnsi="Arial"/>
        </w:rPr>
        <w:t xml:space="preserve"> </w:t>
      </w:r>
      <w:r w:rsidR="00FA53B0">
        <w:rPr>
          <w:rFonts w:ascii="Arial" w:hAnsi="Arial"/>
        </w:rPr>
        <w:t>b</w:t>
      </w:r>
      <w:r w:rsidR="001666CA">
        <w:rPr>
          <w:rFonts w:ascii="Arial" w:hAnsi="Arial"/>
        </w:rPr>
        <w:t xml:space="preserve">rand with some contribution by </w:t>
      </w:r>
      <w:r w:rsidR="000910F5">
        <w:rPr>
          <w:rFonts w:ascii="Arial" w:hAnsi="Arial"/>
        </w:rPr>
        <w:t>System</w:t>
      </w:r>
      <w:r w:rsidR="00FA53B0">
        <w:rPr>
          <w:rFonts w:ascii="Arial" w:hAnsi="Arial"/>
        </w:rPr>
        <w:t xml:space="preserve"> </w:t>
      </w:r>
      <w:r w:rsidR="001666CA">
        <w:rPr>
          <w:rFonts w:ascii="Arial" w:hAnsi="Arial"/>
        </w:rPr>
        <w:t xml:space="preserve">x </w:t>
      </w:r>
      <w:r w:rsidR="00FA53B0">
        <w:rPr>
          <w:rFonts w:ascii="Arial" w:hAnsi="Arial"/>
        </w:rPr>
        <w:t>as well.</w:t>
      </w:r>
    </w:p>
    <w:p w:rsidR="00C55A8F" w:rsidRDefault="00C55A8F" w:rsidP="004D4CAE">
      <w:pPr>
        <w:pStyle w:val="contact"/>
        <w:tabs>
          <w:tab w:val="clear" w:pos="9180"/>
        </w:tabs>
        <w:rPr>
          <w:rFonts w:ascii="Arial" w:hAnsi="Arial"/>
        </w:rPr>
      </w:pPr>
    </w:p>
    <w:p w:rsidR="005C647D" w:rsidRPr="0036258A" w:rsidRDefault="005C647D" w:rsidP="005C647D">
      <w:pPr>
        <w:jc w:val="left"/>
        <w:rPr>
          <w:b/>
          <w:sz w:val="22"/>
        </w:rPr>
      </w:pPr>
      <w:r w:rsidRPr="0036258A">
        <w:rPr>
          <w:b/>
          <w:sz w:val="22"/>
        </w:rPr>
        <w:t xml:space="preserve">Table </w:t>
      </w:r>
      <w:r>
        <w:rPr>
          <w:b/>
          <w:sz w:val="22"/>
        </w:rPr>
        <w:t>1</w:t>
      </w:r>
      <w:r w:rsidRPr="0036258A">
        <w:rPr>
          <w:b/>
          <w:sz w:val="22"/>
        </w:rPr>
        <w:br/>
        <w:t xml:space="preserve">Worldwide: Server Vendor </w:t>
      </w:r>
      <w:r>
        <w:rPr>
          <w:b/>
          <w:sz w:val="22"/>
        </w:rPr>
        <w:t>Revenue</w:t>
      </w:r>
      <w:r w:rsidRPr="0036258A">
        <w:rPr>
          <w:b/>
          <w:sz w:val="22"/>
        </w:rPr>
        <w:t xml:space="preserve"> Estimates, </w:t>
      </w:r>
      <w:r>
        <w:rPr>
          <w:b/>
          <w:sz w:val="22"/>
        </w:rPr>
        <w:t>3</w:t>
      </w:r>
      <w:r w:rsidRPr="0036258A">
        <w:rPr>
          <w:b/>
          <w:sz w:val="22"/>
        </w:rPr>
        <w:t>Q1</w:t>
      </w:r>
      <w:r>
        <w:rPr>
          <w:b/>
          <w:sz w:val="22"/>
        </w:rPr>
        <w:t>2</w:t>
      </w:r>
      <w:r w:rsidRPr="0036258A">
        <w:rPr>
          <w:b/>
          <w:sz w:val="22"/>
        </w:rPr>
        <w:t xml:space="preserve"> (</w:t>
      </w:r>
      <w:r w:rsidR="00473566">
        <w:rPr>
          <w:b/>
          <w:sz w:val="22"/>
        </w:rPr>
        <w:t>US</w:t>
      </w:r>
      <w:r>
        <w:rPr>
          <w:b/>
          <w:sz w:val="22"/>
        </w:rPr>
        <w:t xml:space="preserve"> Dollars</w:t>
      </w:r>
      <w:r w:rsidRPr="0036258A">
        <w:rPr>
          <w:b/>
          <w:sz w:val="22"/>
        </w:rPr>
        <w:t>)</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5C647D" w:rsidRPr="0036258A" w:rsidTr="00B412F2">
        <w:trPr>
          <w:trHeight w:val="225"/>
        </w:trPr>
        <w:tc>
          <w:tcPr>
            <w:tcW w:w="1872" w:type="dxa"/>
            <w:tcBorders>
              <w:top w:val="single" w:sz="4" w:space="0" w:color="auto"/>
            </w:tcBorders>
            <w:vAlign w:val="bottom"/>
          </w:tcPr>
          <w:p w:rsidR="005C647D" w:rsidRPr="0036258A" w:rsidRDefault="005C647D" w:rsidP="00B412F2">
            <w:pPr>
              <w:jc w:val="left"/>
              <w:rPr>
                <w:rFonts w:eastAsia="Batang"/>
                <w:b/>
              </w:rPr>
            </w:pPr>
            <w:r w:rsidRPr="0036258A">
              <w:rPr>
                <w:rFonts w:eastAsia="Batang"/>
                <w:b/>
              </w:rPr>
              <w:t>Company</w:t>
            </w:r>
          </w:p>
        </w:tc>
        <w:tc>
          <w:tcPr>
            <w:tcW w:w="1728" w:type="dxa"/>
            <w:tcBorders>
              <w:top w:val="single" w:sz="4" w:space="0" w:color="auto"/>
            </w:tcBorders>
            <w:vAlign w:val="bottom"/>
          </w:tcPr>
          <w:p w:rsidR="005C647D" w:rsidRPr="0036258A" w:rsidRDefault="005C647D" w:rsidP="00B412F2">
            <w:pPr>
              <w:jc w:val="right"/>
              <w:rPr>
                <w:rFonts w:eastAsia="Batang"/>
                <w:b/>
              </w:rPr>
            </w:pPr>
            <w:r>
              <w:rPr>
                <w:rFonts w:eastAsia="Batang"/>
                <w:b/>
              </w:rPr>
              <w:t>3</w:t>
            </w:r>
            <w:r w:rsidRPr="0036258A">
              <w:rPr>
                <w:rFonts w:eastAsia="Batang"/>
                <w:b/>
              </w:rPr>
              <w:t>Q1</w:t>
            </w:r>
            <w:r>
              <w:rPr>
                <w:rFonts w:eastAsia="Batang"/>
                <w:b/>
              </w:rPr>
              <w:t>2</w:t>
            </w:r>
          </w:p>
          <w:p w:rsidR="005C647D" w:rsidRPr="0036258A" w:rsidRDefault="005C647D" w:rsidP="00B412F2">
            <w:pPr>
              <w:jc w:val="right"/>
              <w:rPr>
                <w:rFonts w:eastAsia="Batang"/>
                <w:b/>
              </w:rPr>
            </w:pPr>
            <w:r>
              <w:rPr>
                <w:rFonts w:eastAsia="Batang"/>
                <w:b/>
              </w:rPr>
              <w:t>Revenue</w:t>
            </w:r>
          </w:p>
        </w:tc>
        <w:tc>
          <w:tcPr>
            <w:tcW w:w="1440" w:type="dxa"/>
            <w:tcBorders>
              <w:top w:val="single" w:sz="4" w:space="0" w:color="auto"/>
            </w:tcBorders>
            <w:vAlign w:val="center"/>
          </w:tcPr>
          <w:p w:rsidR="005C647D" w:rsidRPr="0036258A" w:rsidRDefault="005C647D" w:rsidP="00B412F2">
            <w:pPr>
              <w:jc w:val="right"/>
              <w:rPr>
                <w:rFonts w:eastAsia="Batang"/>
                <w:b/>
              </w:rPr>
            </w:pPr>
            <w:r>
              <w:rPr>
                <w:rFonts w:eastAsia="Batang"/>
                <w:b/>
              </w:rPr>
              <w:t>3</w:t>
            </w:r>
            <w:r w:rsidRPr="0036258A">
              <w:rPr>
                <w:rFonts w:eastAsia="Batang"/>
                <w:b/>
              </w:rPr>
              <w:t>Q1</w:t>
            </w:r>
            <w:r>
              <w:rPr>
                <w:rFonts w:eastAsia="Batang"/>
                <w:b/>
              </w:rPr>
              <w:t>2</w:t>
            </w:r>
            <w:r w:rsidRPr="0036258A">
              <w:rPr>
                <w:rFonts w:eastAsia="Batang"/>
                <w:b/>
              </w:rPr>
              <w:t xml:space="preserve"> Market Share (%)</w:t>
            </w:r>
          </w:p>
        </w:tc>
        <w:tc>
          <w:tcPr>
            <w:tcW w:w="1728" w:type="dxa"/>
            <w:tcBorders>
              <w:top w:val="single" w:sz="4" w:space="0" w:color="auto"/>
            </w:tcBorders>
            <w:vAlign w:val="bottom"/>
          </w:tcPr>
          <w:p w:rsidR="005C647D" w:rsidRPr="0036258A" w:rsidRDefault="005C647D" w:rsidP="00B412F2">
            <w:pPr>
              <w:jc w:val="right"/>
              <w:rPr>
                <w:rFonts w:eastAsia="Batang"/>
                <w:b/>
              </w:rPr>
            </w:pPr>
            <w:r>
              <w:rPr>
                <w:rFonts w:eastAsia="Batang"/>
                <w:b/>
              </w:rPr>
              <w:t>3</w:t>
            </w:r>
            <w:r w:rsidRPr="0036258A">
              <w:rPr>
                <w:rFonts w:eastAsia="Batang"/>
                <w:b/>
              </w:rPr>
              <w:t>Q</w:t>
            </w:r>
            <w:r>
              <w:rPr>
                <w:rFonts w:eastAsia="Batang"/>
                <w:b/>
              </w:rPr>
              <w:t>11</w:t>
            </w:r>
          </w:p>
          <w:p w:rsidR="005C647D" w:rsidRPr="0036258A" w:rsidRDefault="005C647D" w:rsidP="00B412F2">
            <w:pPr>
              <w:jc w:val="right"/>
              <w:rPr>
                <w:rFonts w:eastAsia="Batang"/>
                <w:b/>
              </w:rPr>
            </w:pPr>
            <w:r>
              <w:rPr>
                <w:rFonts w:eastAsia="Batang"/>
                <w:b/>
              </w:rPr>
              <w:t>Revenue</w:t>
            </w:r>
          </w:p>
        </w:tc>
        <w:tc>
          <w:tcPr>
            <w:tcW w:w="1440" w:type="dxa"/>
            <w:tcBorders>
              <w:top w:val="single" w:sz="4" w:space="0" w:color="auto"/>
            </w:tcBorders>
            <w:vAlign w:val="center"/>
          </w:tcPr>
          <w:p w:rsidR="005C647D" w:rsidRPr="0036258A" w:rsidRDefault="005C647D" w:rsidP="00B412F2">
            <w:pPr>
              <w:jc w:val="right"/>
              <w:rPr>
                <w:rFonts w:eastAsia="Batang"/>
                <w:b/>
              </w:rPr>
            </w:pPr>
            <w:r>
              <w:rPr>
                <w:rFonts w:eastAsia="Batang"/>
                <w:b/>
              </w:rPr>
              <w:t>3</w:t>
            </w:r>
            <w:r w:rsidRPr="0036258A">
              <w:rPr>
                <w:rFonts w:eastAsia="Batang"/>
                <w:b/>
              </w:rPr>
              <w:t>Q</w:t>
            </w:r>
            <w:r>
              <w:rPr>
                <w:rFonts w:eastAsia="Batang"/>
                <w:b/>
              </w:rPr>
              <w:t>11</w:t>
            </w:r>
            <w:r w:rsidRPr="0036258A">
              <w:rPr>
                <w:rFonts w:eastAsia="Batang"/>
                <w:b/>
              </w:rPr>
              <w:t xml:space="preserve"> Market Share (%)</w:t>
            </w:r>
          </w:p>
        </w:tc>
        <w:tc>
          <w:tcPr>
            <w:tcW w:w="1584" w:type="dxa"/>
            <w:tcBorders>
              <w:top w:val="single" w:sz="4" w:space="0" w:color="auto"/>
            </w:tcBorders>
            <w:vAlign w:val="center"/>
          </w:tcPr>
          <w:p w:rsidR="005C647D" w:rsidRPr="0036258A" w:rsidRDefault="005C647D" w:rsidP="005C647D">
            <w:pPr>
              <w:jc w:val="right"/>
              <w:rPr>
                <w:rFonts w:eastAsia="Batang"/>
                <w:b/>
              </w:rPr>
            </w:pPr>
            <w:r>
              <w:rPr>
                <w:rFonts w:eastAsia="Batang"/>
                <w:b/>
              </w:rPr>
              <w:t>3</w:t>
            </w:r>
            <w:r w:rsidRPr="0036258A">
              <w:rPr>
                <w:rFonts w:eastAsia="Batang"/>
                <w:b/>
              </w:rPr>
              <w:t>Q</w:t>
            </w:r>
            <w:r>
              <w:rPr>
                <w:rFonts w:eastAsia="Batang"/>
                <w:b/>
              </w:rPr>
              <w:t>12</w:t>
            </w:r>
            <w:r w:rsidRPr="0036258A">
              <w:rPr>
                <w:rFonts w:eastAsia="Batang"/>
                <w:b/>
              </w:rPr>
              <w:t>-</w:t>
            </w:r>
            <w:r>
              <w:rPr>
                <w:rFonts w:eastAsia="Batang"/>
                <w:b/>
              </w:rPr>
              <w:t>3</w:t>
            </w:r>
            <w:r w:rsidRPr="0036258A">
              <w:rPr>
                <w:rFonts w:eastAsia="Batang"/>
                <w:b/>
              </w:rPr>
              <w:t>Q1</w:t>
            </w:r>
            <w:r>
              <w:rPr>
                <w:rFonts w:eastAsia="Batang"/>
                <w:b/>
              </w:rPr>
              <w:t>1</w:t>
            </w:r>
            <w:r w:rsidRPr="0036258A">
              <w:rPr>
                <w:rFonts w:eastAsia="Batang"/>
                <w:b/>
              </w:rPr>
              <w:t xml:space="preserve"> Growth (%)</w:t>
            </w:r>
          </w:p>
        </w:tc>
      </w:tr>
      <w:tr w:rsidR="00E63C56" w:rsidRPr="0036258A" w:rsidTr="00B412F2">
        <w:trPr>
          <w:trHeight w:val="225"/>
        </w:trPr>
        <w:tc>
          <w:tcPr>
            <w:tcW w:w="1872" w:type="dxa"/>
            <w:tcBorders>
              <w:top w:val="single" w:sz="4" w:space="0" w:color="auto"/>
            </w:tcBorders>
            <w:vAlign w:val="bottom"/>
          </w:tcPr>
          <w:p w:rsidR="00E63C56" w:rsidRDefault="00E63C56">
            <w:pPr>
              <w:rPr>
                <w:rFonts w:cs="Arial"/>
              </w:rPr>
            </w:pPr>
            <w:r>
              <w:rPr>
                <w:rFonts w:cs="Arial"/>
              </w:rPr>
              <w:t>IBM</w:t>
            </w:r>
          </w:p>
        </w:tc>
        <w:tc>
          <w:tcPr>
            <w:tcW w:w="1728" w:type="dxa"/>
            <w:tcBorders>
              <w:top w:val="single" w:sz="4" w:space="0" w:color="auto"/>
            </w:tcBorders>
            <w:vAlign w:val="bottom"/>
          </w:tcPr>
          <w:p w:rsidR="00E63C56" w:rsidRDefault="00E63C56">
            <w:pPr>
              <w:jc w:val="right"/>
              <w:rPr>
                <w:rFonts w:cs="Arial"/>
              </w:rPr>
            </w:pPr>
            <w:r>
              <w:rPr>
                <w:rFonts w:cs="Arial"/>
              </w:rPr>
              <w:t>3,479,454,267</w:t>
            </w:r>
          </w:p>
        </w:tc>
        <w:tc>
          <w:tcPr>
            <w:tcW w:w="1440" w:type="dxa"/>
            <w:tcBorders>
              <w:top w:val="single" w:sz="4" w:space="0" w:color="auto"/>
            </w:tcBorders>
            <w:vAlign w:val="bottom"/>
          </w:tcPr>
          <w:p w:rsidR="00E63C56" w:rsidRDefault="00E63C56" w:rsidP="00E63C56">
            <w:pPr>
              <w:jc w:val="right"/>
              <w:rPr>
                <w:rFonts w:cs="Arial"/>
              </w:rPr>
            </w:pPr>
            <w:r>
              <w:rPr>
                <w:rFonts w:cs="Arial"/>
              </w:rPr>
              <w:t>27.6</w:t>
            </w:r>
          </w:p>
        </w:tc>
        <w:tc>
          <w:tcPr>
            <w:tcW w:w="1728" w:type="dxa"/>
            <w:tcBorders>
              <w:top w:val="single" w:sz="4" w:space="0" w:color="auto"/>
            </w:tcBorders>
            <w:vAlign w:val="bottom"/>
          </w:tcPr>
          <w:p w:rsidR="00E63C56" w:rsidRDefault="00E63C56">
            <w:pPr>
              <w:jc w:val="right"/>
              <w:rPr>
                <w:rFonts w:cs="Arial"/>
              </w:rPr>
            </w:pPr>
            <w:r>
              <w:rPr>
                <w:rFonts w:cs="Arial"/>
              </w:rPr>
              <w:t>3,846,807,802</w:t>
            </w:r>
          </w:p>
        </w:tc>
        <w:tc>
          <w:tcPr>
            <w:tcW w:w="1440" w:type="dxa"/>
            <w:tcBorders>
              <w:top w:val="single" w:sz="4" w:space="0" w:color="auto"/>
            </w:tcBorders>
            <w:vAlign w:val="bottom"/>
          </w:tcPr>
          <w:p w:rsidR="00E63C56" w:rsidRDefault="00E63C56">
            <w:pPr>
              <w:jc w:val="right"/>
              <w:rPr>
                <w:rFonts w:cs="Arial"/>
              </w:rPr>
            </w:pPr>
            <w:r>
              <w:rPr>
                <w:rFonts w:cs="Arial"/>
              </w:rPr>
              <w:t>29.6</w:t>
            </w:r>
          </w:p>
        </w:tc>
        <w:tc>
          <w:tcPr>
            <w:tcW w:w="1584" w:type="dxa"/>
            <w:tcBorders>
              <w:top w:val="single" w:sz="4" w:space="0" w:color="auto"/>
            </w:tcBorders>
            <w:vAlign w:val="bottom"/>
          </w:tcPr>
          <w:p w:rsidR="00E63C56" w:rsidRDefault="00E63C56">
            <w:pPr>
              <w:jc w:val="right"/>
              <w:rPr>
                <w:rFonts w:cs="Arial"/>
              </w:rPr>
            </w:pPr>
            <w:r>
              <w:rPr>
                <w:rFonts w:cs="Arial"/>
              </w:rPr>
              <w:t>-9.5</w:t>
            </w:r>
          </w:p>
        </w:tc>
      </w:tr>
      <w:tr w:rsidR="00E63C56" w:rsidRPr="0036258A" w:rsidTr="00B412F2">
        <w:trPr>
          <w:trHeight w:val="225"/>
        </w:trPr>
        <w:tc>
          <w:tcPr>
            <w:tcW w:w="1872" w:type="dxa"/>
            <w:vAlign w:val="bottom"/>
          </w:tcPr>
          <w:p w:rsidR="00E63C56" w:rsidRDefault="00E63C56">
            <w:pPr>
              <w:rPr>
                <w:rFonts w:cs="Arial"/>
              </w:rPr>
            </w:pPr>
            <w:r>
              <w:rPr>
                <w:rFonts w:cs="Arial"/>
              </w:rPr>
              <w:t>HP</w:t>
            </w:r>
          </w:p>
        </w:tc>
        <w:tc>
          <w:tcPr>
            <w:tcW w:w="1728" w:type="dxa"/>
            <w:vAlign w:val="bottom"/>
          </w:tcPr>
          <w:p w:rsidR="00E63C56" w:rsidRDefault="00E63C56">
            <w:pPr>
              <w:jc w:val="right"/>
              <w:rPr>
                <w:rFonts w:cs="Arial"/>
              </w:rPr>
            </w:pPr>
            <w:r>
              <w:rPr>
                <w:rFonts w:cs="Arial"/>
              </w:rPr>
              <w:t>3,330,804,391</w:t>
            </w:r>
          </w:p>
        </w:tc>
        <w:tc>
          <w:tcPr>
            <w:tcW w:w="1440" w:type="dxa"/>
            <w:vAlign w:val="bottom"/>
          </w:tcPr>
          <w:p w:rsidR="00E63C56" w:rsidRDefault="00E63C56">
            <w:pPr>
              <w:jc w:val="right"/>
              <w:rPr>
                <w:rFonts w:cs="Arial"/>
              </w:rPr>
            </w:pPr>
            <w:r>
              <w:rPr>
                <w:rFonts w:cs="Arial"/>
              </w:rPr>
              <w:t>26.4</w:t>
            </w:r>
          </w:p>
        </w:tc>
        <w:tc>
          <w:tcPr>
            <w:tcW w:w="1728" w:type="dxa"/>
            <w:vAlign w:val="bottom"/>
          </w:tcPr>
          <w:p w:rsidR="00E63C56" w:rsidRDefault="00E63C56">
            <w:pPr>
              <w:jc w:val="right"/>
              <w:rPr>
                <w:rFonts w:cs="Arial"/>
              </w:rPr>
            </w:pPr>
            <w:r>
              <w:rPr>
                <w:rFonts w:cs="Arial"/>
              </w:rPr>
              <w:t>3,802,440,046</w:t>
            </w:r>
          </w:p>
        </w:tc>
        <w:tc>
          <w:tcPr>
            <w:tcW w:w="1440" w:type="dxa"/>
            <w:vAlign w:val="bottom"/>
          </w:tcPr>
          <w:p w:rsidR="00E63C56" w:rsidRDefault="00E63C56">
            <w:pPr>
              <w:jc w:val="right"/>
              <w:rPr>
                <w:rFonts w:cs="Arial"/>
              </w:rPr>
            </w:pPr>
            <w:r>
              <w:rPr>
                <w:rFonts w:cs="Arial"/>
              </w:rPr>
              <w:t>29.3</w:t>
            </w:r>
          </w:p>
        </w:tc>
        <w:tc>
          <w:tcPr>
            <w:tcW w:w="1584" w:type="dxa"/>
            <w:vAlign w:val="bottom"/>
          </w:tcPr>
          <w:p w:rsidR="00E63C56" w:rsidRDefault="00E63C56">
            <w:pPr>
              <w:jc w:val="right"/>
              <w:rPr>
                <w:rFonts w:cs="Arial"/>
              </w:rPr>
            </w:pPr>
            <w:r>
              <w:rPr>
                <w:rFonts w:cs="Arial"/>
              </w:rPr>
              <w:t>-12.4</w:t>
            </w:r>
          </w:p>
        </w:tc>
      </w:tr>
      <w:tr w:rsidR="00E63C56" w:rsidRPr="0036258A" w:rsidTr="00B412F2">
        <w:trPr>
          <w:trHeight w:val="225"/>
        </w:trPr>
        <w:tc>
          <w:tcPr>
            <w:tcW w:w="1872" w:type="dxa"/>
            <w:vAlign w:val="bottom"/>
          </w:tcPr>
          <w:p w:rsidR="00E63C56" w:rsidRDefault="00E63C56">
            <w:pPr>
              <w:rPr>
                <w:rFonts w:cs="Arial"/>
              </w:rPr>
            </w:pPr>
            <w:r>
              <w:rPr>
                <w:rFonts w:cs="Arial"/>
              </w:rPr>
              <w:t>Dell</w:t>
            </w:r>
          </w:p>
        </w:tc>
        <w:tc>
          <w:tcPr>
            <w:tcW w:w="1728" w:type="dxa"/>
            <w:vAlign w:val="bottom"/>
          </w:tcPr>
          <w:p w:rsidR="00E63C56" w:rsidRDefault="00E63C56">
            <w:pPr>
              <w:jc w:val="right"/>
              <w:rPr>
                <w:rFonts w:cs="Arial"/>
              </w:rPr>
            </w:pPr>
            <w:r>
              <w:rPr>
                <w:rFonts w:cs="Arial"/>
              </w:rPr>
              <w:t>2,099,469,317</w:t>
            </w:r>
          </w:p>
        </w:tc>
        <w:tc>
          <w:tcPr>
            <w:tcW w:w="1440" w:type="dxa"/>
            <w:vAlign w:val="bottom"/>
          </w:tcPr>
          <w:p w:rsidR="00E63C56" w:rsidRDefault="00E63C56">
            <w:pPr>
              <w:jc w:val="right"/>
              <w:rPr>
                <w:rFonts w:cs="Arial"/>
              </w:rPr>
            </w:pPr>
            <w:r>
              <w:rPr>
                <w:rFonts w:cs="Arial"/>
              </w:rPr>
              <w:t>16.7</w:t>
            </w:r>
          </w:p>
        </w:tc>
        <w:tc>
          <w:tcPr>
            <w:tcW w:w="1728" w:type="dxa"/>
            <w:vAlign w:val="bottom"/>
          </w:tcPr>
          <w:p w:rsidR="00E63C56" w:rsidRDefault="00E63C56">
            <w:pPr>
              <w:jc w:val="right"/>
              <w:rPr>
                <w:rFonts w:cs="Arial"/>
              </w:rPr>
            </w:pPr>
            <w:r>
              <w:rPr>
                <w:rFonts w:cs="Arial"/>
              </w:rPr>
              <w:t>1,903,221,687</w:t>
            </w:r>
          </w:p>
        </w:tc>
        <w:tc>
          <w:tcPr>
            <w:tcW w:w="1440" w:type="dxa"/>
            <w:vAlign w:val="bottom"/>
          </w:tcPr>
          <w:p w:rsidR="00E63C56" w:rsidRDefault="00E63C56">
            <w:pPr>
              <w:jc w:val="right"/>
              <w:rPr>
                <w:rFonts w:cs="Arial"/>
              </w:rPr>
            </w:pPr>
            <w:r>
              <w:rPr>
                <w:rFonts w:cs="Arial"/>
              </w:rPr>
              <w:t>14.7</w:t>
            </w:r>
          </w:p>
        </w:tc>
        <w:tc>
          <w:tcPr>
            <w:tcW w:w="1584" w:type="dxa"/>
            <w:vAlign w:val="bottom"/>
          </w:tcPr>
          <w:p w:rsidR="00E63C56" w:rsidRDefault="00E63C56">
            <w:pPr>
              <w:jc w:val="right"/>
              <w:rPr>
                <w:rFonts w:cs="Arial"/>
              </w:rPr>
            </w:pPr>
            <w:r>
              <w:rPr>
                <w:rFonts w:cs="Arial"/>
              </w:rPr>
              <w:t>10.3</w:t>
            </w:r>
          </w:p>
        </w:tc>
      </w:tr>
      <w:tr w:rsidR="00E63C56" w:rsidRPr="0036258A" w:rsidTr="00B412F2">
        <w:trPr>
          <w:trHeight w:val="225"/>
        </w:trPr>
        <w:tc>
          <w:tcPr>
            <w:tcW w:w="1872" w:type="dxa"/>
            <w:vAlign w:val="bottom"/>
          </w:tcPr>
          <w:p w:rsidR="00E63C56" w:rsidRDefault="00E63C56">
            <w:pPr>
              <w:rPr>
                <w:rFonts w:cs="Arial"/>
              </w:rPr>
            </w:pPr>
            <w:r>
              <w:rPr>
                <w:rFonts w:cs="Arial"/>
              </w:rPr>
              <w:lastRenderedPageBreak/>
              <w:t>Oracle</w:t>
            </w:r>
          </w:p>
        </w:tc>
        <w:tc>
          <w:tcPr>
            <w:tcW w:w="1728" w:type="dxa"/>
            <w:vAlign w:val="bottom"/>
          </w:tcPr>
          <w:p w:rsidR="00E63C56" w:rsidRDefault="00E63C56">
            <w:pPr>
              <w:jc w:val="right"/>
              <w:rPr>
                <w:rFonts w:cs="Arial"/>
              </w:rPr>
            </w:pPr>
            <w:r>
              <w:rPr>
                <w:rFonts w:cs="Arial"/>
              </w:rPr>
              <w:t>592,040,000</w:t>
            </w:r>
          </w:p>
        </w:tc>
        <w:tc>
          <w:tcPr>
            <w:tcW w:w="1440" w:type="dxa"/>
            <w:vAlign w:val="bottom"/>
          </w:tcPr>
          <w:p w:rsidR="00E63C56" w:rsidRDefault="00E63C56">
            <w:pPr>
              <w:jc w:val="right"/>
              <w:rPr>
                <w:rFonts w:cs="Arial"/>
              </w:rPr>
            </w:pPr>
            <w:r>
              <w:rPr>
                <w:rFonts w:cs="Arial"/>
              </w:rPr>
              <w:t>4.7</w:t>
            </w:r>
          </w:p>
        </w:tc>
        <w:tc>
          <w:tcPr>
            <w:tcW w:w="1728" w:type="dxa"/>
            <w:vAlign w:val="bottom"/>
          </w:tcPr>
          <w:p w:rsidR="00E63C56" w:rsidRDefault="00E63C56">
            <w:pPr>
              <w:jc w:val="right"/>
              <w:rPr>
                <w:rFonts w:cs="Arial"/>
              </w:rPr>
            </w:pPr>
            <w:r>
              <w:rPr>
                <w:rFonts w:cs="Arial"/>
              </w:rPr>
              <w:t>763,610,285</w:t>
            </w:r>
          </w:p>
        </w:tc>
        <w:tc>
          <w:tcPr>
            <w:tcW w:w="1440" w:type="dxa"/>
            <w:vAlign w:val="bottom"/>
          </w:tcPr>
          <w:p w:rsidR="00E63C56" w:rsidRDefault="00E63C56">
            <w:pPr>
              <w:jc w:val="right"/>
              <w:rPr>
                <w:rFonts w:cs="Arial"/>
              </w:rPr>
            </w:pPr>
            <w:r>
              <w:rPr>
                <w:rFonts w:cs="Arial"/>
              </w:rPr>
              <w:t>5.9</w:t>
            </w:r>
          </w:p>
        </w:tc>
        <w:tc>
          <w:tcPr>
            <w:tcW w:w="1584" w:type="dxa"/>
            <w:vAlign w:val="bottom"/>
          </w:tcPr>
          <w:p w:rsidR="00E63C56" w:rsidRDefault="00E63C56">
            <w:pPr>
              <w:jc w:val="right"/>
              <w:rPr>
                <w:rFonts w:cs="Arial"/>
              </w:rPr>
            </w:pPr>
            <w:r>
              <w:rPr>
                <w:rFonts w:cs="Arial"/>
              </w:rPr>
              <w:t>-22.5</w:t>
            </w:r>
          </w:p>
        </w:tc>
      </w:tr>
      <w:tr w:rsidR="00E63C56" w:rsidRPr="0036258A" w:rsidTr="00B412F2">
        <w:trPr>
          <w:trHeight w:val="225"/>
        </w:trPr>
        <w:tc>
          <w:tcPr>
            <w:tcW w:w="1872" w:type="dxa"/>
            <w:vAlign w:val="bottom"/>
          </w:tcPr>
          <w:p w:rsidR="00E63C56" w:rsidRDefault="00E63C56">
            <w:pPr>
              <w:rPr>
                <w:rFonts w:cs="Arial"/>
              </w:rPr>
            </w:pPr>
            <w:r>
              <w:rPr>
                <w:rFonts w:cs="Arial"/>
              </w:rPr>
              <w:t>Fujitsu</w:t>
            </w:r>
          </w:p>
        </w:tc>
        <w:tc>
          <w:tcPr>
            <w:tcW w:w="1728" w:type="dxa"/>
            <w:vAlign w:val="bottom"/>
          </w:tcPr>
          <w:p w:rsidR="00E63C56" w:rsidRDefault="00E63C56">
            <w:pPr>
              <w:jc w:val="right"/>
              <w:rPr>
                <w:rFonts w:cs="Arial"/>
              </w:rPr>
            </w:pPr>
            <w:r>
              <w:rPr>
                <w:rFonts w:cs="Arial"/>
              </w:rPr>
              <w:t>494,121,545</w:t>
            </w:r>
          </w:p>
        </w:tc>
        <w:tc>
          <w:tcPr>
            <w:tcW w:w="1440" w:type="dxa"/>
            <w:vAlign w:val="bottom"/>
          </w:tcPr>
          <w:p w:rsidR="00E63C56" w:rsidRDefault="00E63C56">
            <w:pPr>
              <w:jc w:val="right"/>
              <w:rPr>
                <w:rFonts w:cs="Arial"/>
              </w:rPr>
            </w:pPr>
            <w:r>
              <w:rPr>
                <w:rFonts w:cs="Arial"/>
              </w:rPr>
              <w:t>3.9</w:t>
            </w:r>
          </w:p>
        </w:tc>
        <w:tc>
          <w:tcPr>
            <w:tcW w:w="1728" w:type="dxa"/>
            <w:vAlign w:val="bottom"/>
          </w:tcPr>
          <w:p w:rsidR="00E63C56" w:rsidRDefault="00E63C56">
            <w:pPr>
              <w:jc w:val="right"/>
              <w:rPr>
                <w:rFonts w:cs="Arial"/>
              </w:rPr>
            </w:pPr>
            <w:r>
              <w:rPr>
                <w:rFonts w:cs="Arial"/>
              </w:rPr>
              <w:t>605,009,267</w:t>
            </w:r>
          </w:p>
        </w:tc>
        <w:tc>
          <w:tcPr>
            <w:tcW w:w="1440" w:type="dxa"/>
            <w:vAlign w:val="bottom"/>
          </w:tcPr>
          <w:p w:rsidR="00E63C56" w:rsidRDefault="00E63C56">
            <w:pPr>
              <w:jc w:val="right"/>
              <w:rPr>
                <w:rFonts w:cs="Arial"/>
              </w:rPr>
            </w:pPr>
            <w:r>
              <w:rPr>
                <w:rFonts w:cs="Arial"/>
              </w:rPr>
              <w:t>4.7</w:t>
            </w:r>
          </w:p>
        </w:tc>
        <w:tc>
          <w:tcPr>
            <w:tcW w:w="1584" w:type="dxa"/>
            <w:vAlign w:val="bottom"/>
          </w:tcPr>
          <w:p w:rsidR="00E63C56" w:rsidRDefault="00E63C56">
            <w:pPr>
              <w:jc w:val="right"/>
              <w:rPr>
                <w:rFonts w:cs="Arial"/>
              </w:rPr>
            </w:pPr>
            <w:r>
              <w:rPr>
                <w:rFonts w:cs="Arial"/>
              </w:rPr>
              <w:t>-18.3</w:t>
            </w:r>
          </w:p>
        </w:tc>
      </w:tr>
      <w:tr w:rsidR="00E63C56" w:rsidRPr="0036258A" w:rsidTr="00B412F2">
        <w:trPr>
          <w:trHeight w:val="240"/>
        </w:trPr>
        <w:tc>
          <w:tcPr>
            <w:tcW w:w="1872" w:type="dxa"/>
            <w:vAlign w:val="bottom"/>
          </w:tcPr>
          <w:p w:rsidR="00E63C56" w:rsidRDefault="00E63C56" w:rsidP="00B412F2">
            <w:pPr>
              <w:rPr>
                <w:rFonts w:cs="Arial"/>
              </w:rPr>
            </w:pPr>
            <w:r>
              <w:rPr>
                <w:rFonts w:cs="Arial"/>
              </w:rPr>
              <w:t>Other Vendors</w:t>
            </w:r>
          </w:p>
        </w:tc>
        <w:tc>
          <w:tcPr>
            <w:tcW w:w="1728" w:type="dxa"/>
            <w:vAlign w:val="bottom"/>
          </w:tcPr>
          <w:p w:rsidR="00E63C56" w:rsidRDefault="00E63C56" w:rsidP="00E63C56">
            <w:pPr>
              <w:jc w:val="right"/>
              <w:rPr>
                <w:rFonts w:cs="Arial"/>
              </w:rPr>
            </w:pPr>
            <w:r>
              <w:rPr>
                <w:rFonts w:cs="Arial"/>
              </w:rPr>
              <w:t>2,610,962,610</w:t>
            </w:r>
          </w:p>
        </w:tc>
        <w:tc>
          <w:tcPr>
            <w:tcW w:w="1440" w:type="dxa"/>
            <w:vAlign w:val="bottom"/>
          </w:tcPr>
          <w:p w:rsidR="00E63C56" w:rsidRDefault="00E63C56" w:rsidP="00E63C56">
            <w:pPr>
              <w:jc w:val="right"/>
              <w:rPr>
                <w:rFonts w:cs="Arial"/>
              </w:rPr>
            </w:pPr>
            <w:r>
              <w:rPr>
                <w:rFonts w:cs="Arial"/>
              </w:rPr>
              <w:t>20.7</w:t>
            </w:r>
          </w:p>
        </w:tc>
        <w:tc>
          <w:tcPr>
            <w:tcW w:w="1728" w:type="dxa"/>
            <w:vAlign w:val="bottom"/>
          </w:tcPr>
          <w:p w:rsidR="00E63C56" w:rsidRDefault="00E63C56" w:rsidP="00E63C56">
            <w:pPr>
              <w:jc w:val="right"/>
              <w:rPr>
                <w:rFonts w:cs="Arial"/>
              </w:rPr>
            </w:pPr>
            <w:r>
              <w:rPr>
                <w:rFonts w:cs="Arial"/>
              </w:rPr>
              <w:t>2,053,375,210</w:t>
            </w:r>
          </w:p>
        </w:tc>
        <w:tc>
          <w:tcPr>
            <w:tcW w:w="1440" w:type="dxa"/>
            <w:vAlign w:val="bottom"/>
          </w:tcPr>
          <w:p w:rsidR="00E63C56" w:rsidRDefault="00E63C56" w:rsidP="00E63C56">
            <w:pPr>
              <w:jc w:val="right"/>
              <w:rPr>
                <w:rFonts w:cs="Arial"/>
              </w:rPr>
            </w:pPr>
            <w:r>
              <w:rPr>
                <w:rFonts w:cs="Arial"/>
              </w:rPr>
              <w:t>15.8</w:t>
            </w:r>
          </w:p>
        </w:tc>
        <w:tc>
          <w:tcPr>
            <w:tcW w:w="1584" w:type="dxa"/>
            <w:vAlign w:val="bottom"/>
          </w:tcPr>
          <w:p w:rsidR="00E63C56" w:rsidRDefault="00E63C56" w:rsidP="00E63C56">
            <w:pPr>
              <w:jc w:val="right"/>
              <w:rPr>
                <w:rFonts w:cs="Arial"/>
              </w:rPr>
            </w:pPr>
            <w:r>
              <w:rPr>
                <w:rFonts w:cs="Arial"/>
              </w:rPr>
              <w:t>27.2</w:t>
            </w:r>
          </w:p>
        </w:tc>
      </w:tr>
      <w:tr w:rsidR="005C647D" w:rsidRPr="00DF67F6" w:rsidTr="00B412F2">
        <w:trPr>
          <w:trHeight w:val="225"/>
        </w:trPr>
        <w:tc>
          <w:tcPr>
            <w:tcW w:w="1872" w:type="dxa"/>
            <w:vAlign w:val="bottom"/>
          </w:tcPr>
          <w:p w:rsidR="005C647D" w:rsidRPr="00DF67F6" w:rsidRDefault="005C647D" w:rsidP="00B412F2">
            <w:pPr>
              <w:jc w:val="left"/>
              <w:rPr>
                <w:rFonts w:eastAsia="Batang"/>
                <w:b/>
              </w:rPr>
            </w:pPr>
            <w:r w:rsidRPr="00DF67F6">
              <w:rPr>
                <w:rFonts w:eastAsia="Batang"/>
                <w:b/>
              </w:rPr>
              <w:t>Total</w:t>
            </w:r>
          </w:p>
        </w:tc>
        <w:tc>
          <w:tcPr>
            <w:tcW w:w="1728" w:type="dxa"/>
            <w:vAlign w:val="bottom"/>
          </w:tcPr>
          <w:p w:rsidR="005C647D" w:rsidRPr="00E63C56" w:rsidRDefault="00E63C56" w:rsidP="00E63C56">
            <w:pPr>
              <w:jc w:val="right"/>
              <w:rPr>
                <w:rFonts w:cs="Arial"/>
                <w:b/>
              </w:rPr>
            </w:pPr>
            <w:r w:rsidRPr="00E63C56">
              <w:rPr>
                <w:rFonts w:cs="Arial"/>
                <w:b/>
              </w:rPr>
              <w:t>12,606,852,131</w:t>
            </w:r>
          </w:p>
        </w:tc>
        <w:tc>
          <w:tcPr>
            <w:tcW w:w="1440" w:type="dxa"/>
            <w:vAlign w:val="center"/>
          </w:tcPr>
          <w:p w:rsidR="005C647D" w:rsidRPr="00DF67F6" w:rsidRDefault="00E63C56" w:rsidP="00B412F2">
            <w:pPr>
              <w:jc w:val="right"/>
              <w:rPr>
                <w:rFonts w:eastAsia="Batang"/>
                <w:b/>
              </w:rPr>
            </w:pPr>
            <w:r>
              <w:rPr>
                <w:rFonts w:eastAsia="Batang"/>
                <w:b/>
              </w:rPr>
              <w:t>100.0</w:t>
            </w:r>
          </w:p>
        </w:tc>
        <w:tc>
          <w:tcPr>
            <w:tcW w:w="1728" w:type="dxa"/>
            <w:vAlign w:val="bottom"/>
          </w:tcPr>
          <w:p w:rsidR="005C647D" w:rsidRPr="00E63C56" w:rsidRDefault="00E63C56" w:rsidP="00E63C56">
            <w:pPr>
              <w:jc w:val="right"/>
              <w:rPr>
                <w:rFonts w:cs="Arial"/>
                <w:b/>
              </w:rPr>
            </w:pPr>
            <w:r w:rsidRPr="00E63C56">
              <w:rPr>
                <w:rFonts w:cs="Arial"/>
                <w:b/>
              </w:rPr>
              <w:t>12,974,464,297</w:t>
            </w:r>
          </w:p>
        </w:tc>
        <w:tc>
          <w:tcPr>
            <w:tcW w:w="1440" w:type="dxa"/>
            <w:vAlign w:val="center"/>
          </w:tcPr>
          <w:p w:rsidR="005C647D" w:rsidRPr="00DF67F6" w:rsidRDefault="00E63C56" w:rsidP="00B412F2">
            <w:pPr>
              <w:jc w:val="right"/>
              <w:rPr>
                <w:rFonts w:eastAsia="Batang"/>
                <w:b/>
              </w:rPr>
            </w:pPr>
            <w:r>
              <w:rPr>
                <w:rFonts w:eastAsia="Batang"/>
                <w:b/>
              </w:rPr>
              <w:t>100.0</w:t>
            </w:r>
          </w:p>
        </w:tc>
        <w:tc>
          <w:tcPr>
            <w:tcW w:w="1584" w:type="dxa"/>
            <w:vAlign w:val="bottom"/>
          </w:tcPr>
          <w:p w:rsidR="005C647D" w:rsidRPr="00DF67F6" w:rsidRDefault="00E63C56" w:rsidP="00B412F2">
            <w:pPr>
              <w:jc w:val="right"/>
              <w:rPr>
                <w:rFonts w:cs="Arial"/>
                <w:b/>
              </w:rPr>
            </w:pPr>
            <w:r>
              <w:rPr>
                <w:rFonts w:cs="Arial"/>
                <w:b/>
              </w:rPr>
              <w:t>-2.8</w:t>
            </w:r>
          </w:p>
        </w:tc>
      </w:tr>
    </w:tbl>
    <w:p w:rsidR="005C647D" w:rsidRPr="00680494" w:rsidRDefault="005C647D" w:rsidP="005C647D">
      <w:pPr>
        <w:pStyle w:val="contact"/>
        <w:rPr>
          <w:rFonts w:ascii="Arial" w:hAnsi="Arial"/>
          <w:sz w:val="18"/>
          <w:szCs w:val="18"/>
        </w:rPr>
      </w:pPr>
      <w:r w:rsidRPr="00680494">
        <w:rPr>
          <w:rFonts w:ascii="Arial" w:hAnsi="Arial"/>
          <w:sz w:val="18"/>
          <w:szCs w:val="18"/>
        </w:rPr>
        <w:t>Source: Gartner (</w:t>
      </w:r>
      <w:r>
        <w:rPr>
          <w:rFonts w:ascii="Arial" w:hAnsi="Arial"/>
          <w:sz w:val="18"/>
          <w:szCs w:val="18"/>
        </w:rPr>
        <w:t>November</w:t>
      </w:r>
      <w:r w:rsidRPr="00680494">
        <w:rPr>
          <w:rFonts w:ascii="Arial" w:hAnsi="Arial"/>
          <w:sz w:val="18"/>
          <w:szCs w:val="18"/>
        </w:rPr>
        <w:t xml:space="preserve"> 2012)</w:t>
      </w:r>
    </w:p>
    <w:p w:rsidR="00A70366" w:rsidRDefault="00A70366" w:rsidP="004D4CAE">
      <w:pPr>
        <w:pStyle w:val="contact"/>
        <w:tabs>
          <w:tab w:val="clear" w:pos="9180"/>
        </w:tabs>
        <w:rPr>
          <w:rFonts w:ascii="Arial" w:hAnsi="Arial"/>
        </w:rPr>
      </w:pPr>
    </w:p>
    <w:p w:rsidR="00C649C4" w:rsidRDefault="00737D54" w:rsidP="00C649C4">
      <w:pPr>
        <w:pStyle w:val="BodyText"/>
        <w:widowControl/>
        <w:spacing w:after="0" w:line="240" w:lineRule="auto"/>
        <w:rPr>
          <w:szCs w:val="22"/>
        </w:rPr>
      </w:pPr>
      <w:r>
        <w:rPr>
          <w:szCs w:val="22"/>
        </w:rPr>
        <w:t xml:space="preserve">In server shipments, </w:t>
      </w:r>
      <w:r w:rsidR="000E0108">
        <w:rPr>
          <w:szCs w:val="22"/>
        </w:rPr>
        <w:t>HP</w:t>
      </w:r>
      <w:r>
        <w:rPr>
          <w:szCs w:val="22"/>
        </w:rPr>
        <w:t xml:space="preserve"> remain</w:t>
      </w:r>
      <w:r w:rsidR="007E1854">
        <w:rPr>
          <w:szCs w:val="22"/>
        </w:rPr>
        <w:t xml:space="preserve">ed the worldwide leader in the </w:t>
      </w:r>
      <w:r w:rsidR="008D0143">
        <w:rPr>
          <w:szCs w:val="22"/>
        </w:rPr>
        <w:t>third</w:t>
      </w:r>
      <w:r w:rsidR="00484954">
        <w:rPr>
          <w:szCs w:val="22"/>
        </w:rPr>
        <w:t xml:space="preserve"> quarter of 2</w:t>
      </w:r>
      <w:r w:rsidR="00142CBF">
        <w:rPr>
          <w:szCs w:val="22"/>
        </w:rPr>
        <w:t>012</w:t>
      </w:r>
      <w:r w:rsidR="009A685E">
        <w:rPr>
          <w:szCs w:val="22"/>
        </w:rPr>
        <w:t xml:space="preserve"> (see Table 2) </w:t>
      </w:r>
      <w:r w:rsidR="00FA53B0">
        <w:rPr>
          <w:szCs w:val="22"/>
        </w:rPr>
        <w:t>in spite of a</w:t>
      </w:r>
      <w:r w:rsidR="000E0108">
        <w:rPr>
          <w:szCs w:val="22"/>
        </w:rPr>
        <w:t>n</w:t>
      </w:r>
      <w:r w:rsidR="00197EFA">
        <w:rPr>
          <w:szCs w:val="22"/>
        </w:rPr>
        <w:t xml:space="preserve"> </w:t>
      </w:r>
      <w:r w:rsidR="000E0108">
        <w:rPr>
          <w:szCs w:val="22"/>
        </w:rPr>
        <w:t>8.4 per</w:t>
      </w:r>
      <w:r w:rsidR="00473566">
        <w:rPr>
          <w:szCs w:val="22"/>
        </w:rPr>
        <w:t xml:space="preserve"> </w:t>
      </w:r>
      <w:r w:rsidR="000E0108">
        <w:rPr>
          <w:szCs w:val="22"/>
        </w:rPr>
        <w:t>cent decrease in</w:t>
      </w:r>
      <w:r w:rsidR="005A125D">
        <w:rPr>
          <w:szCs w:val="22"/>
        </w:rPr>
        <w:t xml:space="preserve"> </w:t>
      </w:r>
      <w:r w:rsidR="00D4671E">
        <w:rPr>
          <w:szCs w:val="22"/>
        </w:rPr>
        <w:t>shipment</w:t>
      </w:r>
      <w:r w:rsidR="000E0108">
        <w:rPr>
          <w:szCs w:val="22"/>
        </w:rPr>
        <w:t>s</w:t>
      </w:r>
      <w:r w:rsidR="005A125D">
        <w:rPr>
          <w:szCs w:val="22"/>
        </w:rPr>
        <w:t xml:space="preserve"> for the quarter</w:t>
      </w:r>
      <w:r w:rsidR="000E0108">
        <w:rPr>
          <w:szCs w:val="22"/>
        </w:rPr>
        <w:t xml:space="preserve">. </w:t>
      </w:r>
      <w:r w:rsidR="00FA53B0">
        <w:rPr>
          <w:szCs w:val="22"/>
        </w:rPr>
        <w:t xml:space="preserve">This decline was driven primarily by </w:t>
      </w:r>
      <w:r w:rsidR="000E0108">
        <w:rPr>
          <w:szCs w:val="22"/>
        </w:rPr>
        <w:t>declining revenue</w:t>
      </w:r>
      <w:r w:rsidR="00FA53B0">
        <w:rPr>
          <w:szCs w:val="22"/>
        </w:rPr>
        <w:t xml:space="preserve"> in HP’s ProLiant and Integrity brands</w:t>
      </w:r>
      <w:r w:rsidR="00DF3F5A">
        <w:rPr>
          <w:szCs w:val="22"/>
        </w:rPr>
        <w:t>.</w:t>
      </w:r>
      <w:r w:rsidR="000E0108">
        <w:rPr>
          <w:szCs w:val="22"/>
        </w:rPr>
        <w:t xml:space="preserve"> </w:t>
      </w:r>
      <w:r w:rsidR="007E1854">
        <w:rPr>
          <w:szCs w:val="22"/>
        </w:rPr>
        <w:t>HP’s worldwi</w:t>
      </w:r>
      <w:r w:rsidR="00197EFA">
        <w:rPr>
          <w:szCs w:val="22"/>
        </w:rPr>
        <w:t>d</w:t>
      </w:r>
      <w:r w:rsidR="00142CBF">
        <w:rPr>
          <w:szCs w:val="22"/>
        </w:rPr>
        <w:t xml:space="preserve">e server shipment share was </w:t>
      </w:r>
      <w:r w:rsidR="005C29E3">
        <w:rPr>
          <w:szCs w:val="22"/>
        </w:rPr>
        <w:t>25.8</w:t>
      </w:r>
      <w:r w:rsidR="007E1854">
        <w:rPr>
          <w:szCs w:val="22"/>
        </w:rPr>
        <w:t xml:space="preserve"> per</w:t>
      </w:r>
      <w:r w:rsidR="00473566">
        <w:rPr>
          <w:szCs w:val="22"/>
        </w:rPr>
        <w:t xml:space="preserve"> </w:t>
      </w:r>
      <w:r w:rsidR="007E1854">
        <w:rPr>
          <w:szCs w:val="22"/>
        </w:rPr>
        <w:t>cent</w:t>
      </w:r>
      <w:r w:rsidR="00F21E98">
        <w:rPr>
          <w:szCs w:val="22"/>
        </w:rPr>
        <w:t>.</w:t>
      </w:r>
    </w:p>
    <w:p w:rsidR="00AA1928" w:rsidRDefault="00AA1928" w:rsidP="00C649C4">
      <w:pPr>
        <w:pStyle w:val="BodyText"/>
        <w:widowControl/>
        <w:spacing w:after="0" w:line="240" w:lineRule="auto"/>
        <w:rPr>
          <w:szCs w:val="22"/>
        </w:rPr>
      </w:pPr>
    </w:p>
    <w:p w:rsidR="00AA1928" w:rsidRDefault="00473566" w:rsidP="00C649C4">
      <w:pPr>
        <w:pStyle w:val="BodyText"/>
        <w:widowControl/>
        <w:spacing w:after="0" w:line="240" w:lineRule="auto"/>
        <w:rPr>
          <w:szCs w:val="22"/>
        </w:rPr>
      </w:pPr>
      <w:r>
        <w:rPr>
          <w:szCs w:val="22"/>
        </w:rPr>
        <w:t>Of the top five</w:t>
      </w:r>
      <w:r w:rsidR="00AA1928">
        <w:rPr>
          <w:szCs w:val="22"/>
        </w:rPr>
        <w:t xml:space="preserve"> vendors in server shipments worldwide, </w:t>
      </w:r>
      <w:r w:rsidR="005C29E3">
        <w:rPr>
          <w:szCs w:val="22"/>
        </w:rPr>
        <w:t>Dell and Cisco were the only vendors to experience an increase in shipments</w:t>
      </w:r>
      <w:r w:rsidR="002868D6">
        <w:rPr>
          <w:szCs w:val="22"/>
        </w:rPr>
        <w:t>.</w:t>
      </w:r>
    </w:p>
    <w:p w:rsidR="00A70366" w:rsidRDefault="00A70366" w:rsidP="00C649C4">
      <w:pPr>
        <w:pStyle w:val="BodyText"/>
        <w:widowControl/>
        <w:spacing w:after="0" w:line="240" w:lineRule="auto"/>
        <w:rPr>
          <w:szCs w:val="22"/>
        </w:rPr>
      </w:pPr>
    </w:p>
    <w:p w:rsidR="006F5603" w:rsidRPr="005E6C41" w:rsidRDefault="00F21E98" w:rsidP="00B67027">
      <w:pPr>
        <w:jc w:val="left"/>
        <w:rPr>
          <w:rFonts w:cs="Arial"/>
          <w:sz w:val="22"/>
          <w:szCs w:val="22"/>
          <w:lang w:val="en-GB"/>
        </w:rPr>
      </w:pPr>
      <w:r>
        <w:rPr>
          <w:rFonts w:cs="Arial"/>
          <w:sz w:val="22"/>
          <w:szCs w:val="22"/>
        </w:rPr>
        <w:t>In terms of server form</w:t>
      </w:r>
      <w:r w:rsidR="00061BD7">
        <w:rPr>
          <w:rFonts w:cs="Arial"/>
          <w:sz w:val="22"/>
          <w:szCs w:val="22"/>
        </w:rPr>
        <w:t xml:space="preserve"> factors, </w:t>
      </w:r>
      <w:r w:rsidR="00566E36">
        <w:rPr>
          <w:rFonts w:cs="Arial"/>
          <w:sz w:val="22"/>
          <w:szCs w:val="22"/>
        </w:rPr>
        <w:t xml:space="preserve">x86 </w:t>
      </w:r>
      <w:r w:rsidR="00061BD7">
        <w:rPr>
          <w:rFonts w:cs="Arial"/>
          <w:sz w:val="22"/>
          <w:szCs w:val="22"/>
        </w:rPr>
        <w:t xml:space="preserve">blade servers </w:t>
      </w:r>
      <w:r w:rsidR="00566E36">
        <w:rPr>
          <w:rFonts w:cs="Arial"/>
          <w:sz w:val="22"/>
          <w:szCs w:val="22"/>
        </w:rPr>
        <w:t xml:space="preserve">declined </w:t>
      </w:r>
      <w:r w:rsidR="00566E36" w:rsidRPr="00B67027">
        <w:rPr>
          <w:rFonts w:cs="Arial"/>
          <w:sz w:val="22"/>
          <w:szCs w:val="22"/>
        </w:rPr>
        <w:t>7.1</w:t>
      </w:r>
      <w:r w:rsidR="00061BD7">
        <w:rPr>
          <w:rFonts w:cs="Arial"/>
          <w:sz w:val="22"/>
          <w:szCs w:val="22"/>
        </w:rPr>
        <w:t xml:space="preserve"> per</w:t>
      </w:r>
      <w:r w:rsidR="00473566">
        <w:rPr>
          <w:rFonts w:cs="Arial"/>
          <w:sz w:val="22"/>
          <w:szCs w:val="22"/>
        </w:rPr>
        <w:t xml:space="preserve"> </w:t>
      </w:r>
      <w:r w:rsidR="00061BD7">
        <w:rPr>
          <w:rFonts w:cs="Arial"/>
          <w:sz w:val="22"/>
          <w:szCs w:val="22"/>
        </w:rPr>
        <w:t xml:space="preserve">cent in shipments </w:t>
      </w:r>
      <w:r w:rsidR="00566E36">
        <w:rPr>
          <w:rFonts w:cs="Arial"/>
          <w:sz w:val="22"/>
          <w:szCs w:val="22"/>
        </w:rPr>
        <w:t xml:space="preserve">but increased </w:t>
      </w:r>
      <w:r w:rsidR="00566E36" w:rsidRPr="00B67027">
        <w:rPr>
          <w:rFonts w:cs="Arial"/>
          <w:sz w:val="22"/>
          <w:szCs w:val="22"/>
        </w:rPr>
        <w:t>2.3</w:t>
      </w:r>
      <w:r>
        <w:rPr>
          <w:rFonts w:cs="Arial"/>
          <w:sz w:val="22"/>
          <w:szCs w:val="22"/>
        </w:rPr>
        <w:t xml:space="preserve"> per</w:t>
      </w:r>
      <w:r w:rsidR="00473566">
        <w:rPr>
          <w:rFonts w:cs="Arial"/>
          <w:sz w:val="22"/>
          <w:szCs w:val="22"/>
        </w:rPr>
        <w:t xml:space="preserve"> </w:t>
      </w:r>
      <w:r>
        <w:rPr>
          <w:rFonts w:cs="Arial"/>
          <w:sz w:val="22"/>
          <w:szCs w:val="22"/>
        </w:rPr>
        <w:t>cent in reve</w:t>
      </w:r>
      <w:r w:rsidR="00846039">
        <w:rPr>
          <w:rFonts w:cs="Arial"/>
          <w:sz w:val="22"/>
          <w:szCs w:val="22"/>
        </w:rPr>
        <w:t>nue for the quarter</w:t>
      </w:r>
      <w:r>
        <w:rPr>
          <w:rFonts w:cs="Arial"/>
          <w:sz w:val="22"/>
          <w:szCs w:val="22"/>
        </w:rPr>
        <w:t xml:space="preserve">. The </w:t>
      </w:r>
      <w:r w:rsidR="001666CA">
        <w:rPr>
          <w:rFonts w:cs="Arial"/>
          <w:sz w:val="22"/>
          <w:szCs w:val="22"/>
        </w:rPr>
        <w:t xml:space="preserve">x86 </w:t>
      </w:r>
      <w:r>
        <w:rPr>
          <w:rFonts w:cs="Arial"/>
          <w:sz w:val="22"/>
          <w:szCs w:val="22"/>
        </w:rPr>
        <w:t>rack-o</w:t>
      </w:r>
      <w:r w:rsidR="00473566">
        <w:rPr>
          <w:rFonts w:cs="Arial"/>
          <w:sz w:val="22"/>
          <w:szCs w:val="22"/>
        </w:rPr>
        <w:t>ptimis</w:t>
      </w:r>
      <w:r w:rsidR="00061BD7">
        <w:rPr>
          <w:rFonts w:cs="Arial"/>
          <w:sz w:val="22"/>
          <w:szCs w:val="22"/>
        </w:rPr>
        <w:t xml:space="preserve">ed form factor </w:t>
      </w:r>
      <w:r w:rsidR="00566E36">
        <w:rPr>
          <w:rFonts w:cs="Arial"/>
          <w:sz w:val="22"/>
          <w:szCs w:val="22"/>
        </w:rPr>
        <w:t xml:space="preserve">declined </w:t>
      </w:r>
      <w:r w:rsidR="00566E36" w:rsidRPr="00C941DB">
        <w:rPr>
          <w:rFonts w:cs="Arial"/>
          <w:sz w:val="22"/>
          <w:szCs w:val="22"/>
        </w:rPr>
        <w:t>0.2</w:t>
      </w:r>
      <w:r>
        <w:rPr>
          <w:rFonts w:cs="Arial"/>
          <w:sz w:val="22"/>
          <w:szCs w:val="22"/>
        </w:rPr>
        <w:t xml:space="preserve"> per</w:t>
      </w:r>
      <w:r w:rsidR="00473566">
        <w:rPr>
          <w:rFonts w:cs="Arial"/>
          <w:sz w:val="22"/>
          <w:szCs w:val="22"/>
        </w:rPr>
        <w:t xml:space="preserve"> </w:t>
      </w:r>
      <w:r>
        <w:rPr>
          <w:rFonts w:cs="Arial"/>
          <w:sz w:val="22"/>
          <w:szCs w:val="22"/>
        </w:rPr>
        <w:t>cent in shipments an</w:t>
      </w:r>
      <w:r w:rsidR="00D4671E">
        <w:rPr>
          <w:rFonts w:cs="Arial"/>
          <w:sz w:val="22"/>
          <w:szCs w:val="22"/>
        </w:rPr>
        <w:t xml:space="preserve">d </w:t>
      </w:r>
      <w:r w:rsidR="00C941DB">
        <w:rPr>
          <w:rFonts w:cs="Arial"/>
          <w:sz w:val="22"/>
          <w:szCs w:val="22"/>
        </w:rPr>
        <w:t xml:space="preserve">decreased </w:t>
      </w:r>
      <w:r w:rsidR="00566E36" w:rsidRPr="00C941DB">
        <w:rPr>
          <w:rFonts w:cs="Arial"/>
          <w:sz w:val="22"/>
          <w:szCs w:val="22"/>
        </w:rPr>
        <w:t>0.3</w:t>
      </w:r>
      <w:r w:rsidR="00D4671E">
        <w:rPr>
          <w:rFonts w:cs="Arial"/>
          <w:sz w:val="22"/>
          <w:szCs w:val="22"/>
        </w:rPr>
        <w:t xml:space="preserve"> per</w:t>
      </w:r>
      <w:r w:rsidR="00473566">
        <w:rPr>
          <w:rFonts w:cs="Arial"/>
          <w:sz w:val="22"/>
          <w:szCs w:val="22"/>
        </w:rPr>
        <w:t xml:space="preserve"> </w:t>
      </w:r>
      <w:r w:rsidR="00D4671E">
        <w:rPr>
          <w:rFonts w:cs="Arial"/>
          <w:sz w:val="22"/>
          <w:szCs w:val="22"/>
        </w:rPr>
        <w:t xml:space="preserve">cent in revenue for </w:t>
      </w:r>
      <w:r w:rsidR="005C29E3">
        <w:rPr>
          <w:rFonts w:cs="Arial"/>
          <w:sz w:val="22"/>
          <w:szCs w:val="22"/>
        </w:rPr>
        <w:t>the third quarter of 2012</w:t>
      </w:r>
      <w:r>
        <w:rPr>
          <w:rFonts w:cs="Arial"/>
          <w:sz w:val="22"/>
          <w:szCs w:val="22"/>
        </w:rPr>
        <w:t>.</w:t>
      </w:r>
    </w:p>
    <w:p w:rsidR="007B04C8" w:rsidRDefault="007B04C8" w:rsidP="00C649C4">
      <w:pPr>
        <w:pStyle w:val="BodyText"/>
        <w:widowControl/>
        <w:spacing w:after="0" w:line="240" w:lineRule="auto"/>
        <w:rPr>
          <w:szCs w:val="22"/>
          <w:lang w:val="en-GB"/>
        </w:rPr>
      </w:pPr>
    </w:p>
    <w:p w:rsidR="005C647D" w:rsidRPr="0036258A" w:rsidRDefault="005C647D" w:rsidP="005C647D">
      <w:pPr>
        <w:jc w:val="left"/>
        <w:rPr>
          <w:b/>
          <w:sz w:val="22"/>
        </w:rPr>
      </w:pPr>
      <w:r w:rsidRPr="0036258A">
        <w:rPr>
          <w:b/>
          <w:sz w:val="22"/>
        </w:rPr>
        <w:t xml:space="preserve">Table </w:t>
      </w:r>
      <w:r>
        <w:rPr>
          <w:b/>
          <w:sz w:val="22"/>
        </w:rPr>
        <w:t>2</w:t>
      </w:r>
      <w:r w:rsidRPr="0036258A">
        <w:rPr>
          <w:b/>
          <w:sz w:val="22"/>
        </w:rPr>
        <w:br/>
        <w:t xml:space="preserve">Worldwide: Server Vendor </w:t>
      </w:r>
      <w:r>
        <w:rPr>
          <w:b/>
          <w:sz w:val="22"/>
        </w:rPr>
        <w:t>Shipment</w:t>
      </w:r>
      <w:r w:rsidRPr="0036258A">
        <w:rPr>
          <w:b/>
          <w:sz w:val="22"/>
        </w:rPr>
        <w:t xml:space="preserve"> Estimat</w:t>
      </w:r>
      <w:r>
        <w:rPr>
          <w:b/>
          <w:sz w:val="22"/>
        </w:rPr>
        <w:t>es, 3</w:t>
      </w:r>
      <w:r w:rsidRPr="0036258A">
        <w:rPr>
          <w:b/>
          <w:sz w:val="22"/>
        </w:rPr>
        <w:t>Q1</w:t>
      </w:r>
      <w:r>
        <w:rPr>
          <w:b/>
          <w:sz w:val="22"/>
        </w:rPr>
        <w:t>2 (Units</w:t>
      </w:r>
      <w:r w:rsidRPr="0036258A">
        <w:rPr>
          <w:b/>
          <w:sz w:val="22"/>
        </w:rPr>
        <w:t>)</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5C647D" w:rsidRPr="0036258A" w:rsidTr="00B412F2">
        <w:trPr>
          <w:trHeight w:val="225"/>
        </w:trPr>
        <w:tc>
          <w:tcPr>
            <w:tcW w:w="1872" w:type="dxa"/>
            <w:tcBorders>
              <w:top w:val="single" w:sz="4" w:space="0" w:color="auto"/>
              <w:bottom w:val="single" w:sz="4" w:space="0" w:color="auto"/>
            </w:tcBorders>
            <w:vAlign w:val="bottom"/>
          </w:tcPr>
          <w:p w:rsidR="005C647D" w:rsidRPr="0036258A" w:rsidRDefault="005C647D" w:rsidP="00B412F2">
            <w:pPr>
              <w:jc w:val="left"/>
              <w:rPr>
                <w:rFonts w:eastAsia="Batang"/>
                <w:b/>
              </w:rPr>
            </w:pPr>
            <w:r w:rsidRPr="0036258A">
              <w:rPr>
                <w:rFonts w:eastAsia="Batang"/>
                <w:b/>
              </w:rPr>
              <w:t>Company</w:t>
            </w:r>
          </w:p>
        </w:tc>
        <w:tc>
          <w:tcPr>
            <w:tcW w:w="1728" w:type="dxa"/>
            <w:tcBorders>
              <w:top w:val="single" w:sz="4" w:space="0" w:color="auto"/>
              <w:bottom w:val="single" w:sz="4" w:space="0" w:color="auto"/>
            </w:tcBorders>
            <w:vAlign w:val="bottom"/>
          </w:tcPr>
          <w:p w:rsidR="005C647D" w:rsidRPr="0036258A" w:rsidRDefault="005C647D" w:rsidP="00B412F2">
            <w:pPr>
              <w:jc w:val="right"/>
              <w:rPr>
                <w:rFonts w:eastAsia="Batang"/>
                <w:b/>
              </w:rPr>
            </w:pPr>
            <w:r>
              <w:rPr>
                <w:rFonts w:eastAsia="Batang"/>
                <w:b/>
              </w:rPr>
              <w:t>3</w:t>
            </w:r>
            <w:r w:rsidRPr="0036258A">
              <w:rPr>
                <w:rFonts w:eastAsia="Batang"/>
                <w:b/>
              </w:rPr>
              <w:t>Q1</w:t>
            </w:r>
            <w:r>
              <w:rPr>
                <w:rFonts w:eastAsia="Batang"/>
                <w:b/>
              </w:rPr>
              <w:t>2</w:t>
            </w:r>
          </w:p>
          <w:p w:rsidR="005C647D" w:rsidRPr="0036258A" w:rsidRDefault="005C647D" w:rsidP="00B412F2">
            <w:pPr>
              <w:jc w:val="right"/>
              <w:rPr>
                <w:rFonts w:eastAsia="Batang"/>
                <w:b/>
              </w:rPr>
            </w:pPr>
            <w:r>
              <w:rPr>
                <w:rFonts w:eastAsia="Batang"/>
                <w:b/>
              </w:rPr>
              <w:t>Shipment</w:t>
            </w:r>
          </w:p>
        </w:tc>
        <w:tc>
          <w:tcPr>
            <w:tcW w:w="1440" w:type="dxa"/>
            <w:tcBorders>
              <w:top w:val="single" w:sz="4" w:space="0" w:color="auto"/>
              <w:bottom w:val="single" w:sz="4" w:space="0" w:color="auto"/>
            </w:tcBorders>
            <w:vAlign w:val="center"/>
          </w:tcPr>
          <w:p w:rsidR="005C647D" w:rsidRPr="0036258A" w:rsidRDefault="005C647D" w:rsidP="00B412F2">
            <w:pPr>
              <w:jc w:val="right"/>
              <w:rPr>
                <w:rFonts w:eastAsia="Batang"/>
                <w:b/>
              </w:rPr>
            </w:pPr>
            <w:r>
              <w:rPr>
                <w:rFonts w:eastAsia="Batang"/>
                <w:b/>
              </w:rPr>
              <w:t>3</w:t>
            </w:r>
            <w:r w:rsidRPr="0036258A">
              <w:rPr>
                <w:rFonts w:eastAsia="Batang"/>
                <w:b/>
              </w:rPr>
              <w:t>Q1</w:t>
            </w:r>
            <w:r>
              <w:rPr>
                <w:rFonts w:eastAsia="Batang"/>
                <w:b/>
              </w:rPr>
              <w:t>2</w:t>
            </w:r>
            <w:r w:rsidRPr="0036258A">
              <w:rPr>
                <w:rFonts w:eastAsia="Batang"/>
                <w:b/>
              </w:rPr>
              <w:t xml:space="preserve"> Market Share (%)</w:t>
            </w:r>
          </w:p>
        </w:tc>
        <w:tc>
          <w:tcPr>
            <w:tcW w:w="1728" w:type="dxa"/>
            <w:tcBorders>
              <w:top w:val="single" w:sz="4" w:space="0" w:color="auto"/>
              <w:bottom w:val="single" w:sz="4" w:space="0" w:color="auto"/>
            </w:tcBorders>
            <w:vAlign w:val="bottom"/>
          </w:tcPr>
          <w:p w:rsidR="005C647D" w:rsidRPr="0036258A" w:rsidRDefault="005C647D" w:rsidP="00B412F2">
            <w:pPr>
              <w:jc w:val="right"/>
              <w:rPr>
                <w:rFonts w:eastAsia="Batang"/>
                <w:b/>
              </w:rPr>
            </w:pPr>
            <w:r>
              <w:rPr>
                <w:rFonts w:eastAsia="Batang"/>
                <w:b/>
              </w:rPr>
              <w:t>3</w:t>
            </w:r>
            <w:r w:rsidRPr="0036258A">
              <w:rPr>
                <w:rFonts w:eastAsia="Batang"/>
                <w:b/>
              </w:rPr>
              <w:t>Q</w:t>
            </w:r>
            <w:r>
              <w:rPr>
                <w:rFonts w:eastAsia="Batang"/>
                <w:b/>
              </w:rPr>
              <w:t>11</w:t>
            </w:r>
          </w:p>
          <w:p w:rsidR="005C647D" w:rsidRPr="0036258A" w:rsidRDefault="005C647D" w:rsidP="00B412F2">
            <w:pPr>
              <w:jc w:val="right"/>
              <w:rPr>
                <w:rFonts w:eastAsia="Batang"/>
                <w:b/>
              </w:rPr>
            </w:pPr>
            <w:r>
              <w:rPr>
                <w:rFonts w:eastAsia="Batang"/>
                <w:b/>
              </w:rPr>
              <w:t>Shipment</w:t>
            </w:r>
          </w:p>
        </w:tc>
        <w:tc>
          <w:tcPr>
            <w:tcW w:w="1440" w:type="dxa"/>
            <w:tcBorders>
              <w:top w:val="single" w:sz="4" w:space="0" w:color="auto"/>
              <w:bottom w:val="single" w:sz="4" w:space="0" w:color="auto"/>
            </w:tcBorders>
            <w:vAlign w:val="center"/>
          </w:tcPr>
          <w:p w:rsidR="005C647D" w:rsidRPr="0036258A" w:rsidRDefault="005C647D" w:rsidP="00B412F2">
            <w:pPr>
              <w:jc w:val="right"/>
              <w:rPr>
                <w:rFonts w:eastAsia="Batang"/>
                <w:b/>
              </w:rPr>
            </w:pPr>
            <w:r>
              <w:rPr>
                <w:rFonts w:eastAsia="Batang"/>
                <w:b/>
              </w:rPr>
              <w:t>3</w:t>
            </w:r>
            <w:r w:rsidRPr="0036258A">
              <w:rPr>
                <w:rFonts w:eastAsia="Batang"/>
                <w:b/>
              </w:rPr>
              <w:t>Q</w:t>
            </w:r>
            <w:r>
              <w:rPr>
                <w:rFonts w:eastAsia="Batang"/>
                <w:b/>
              </w:rPr>
              <w:t>11</w:t>
            </w:r>
            <w:r w:rsidRPr="0036258A">
              <w:rPr>
                <w:rFonts w:eastAsia="Batang"/>
                <w:b/>
              </w:rPr>
              <w:t xml:space="preserve"> Market Share (%)</w:t>
            </w:r>
          </w:p>
        </w:tc>
        <w:tc>
          <w:tcPr>
            <w:tcW w:w="1584" w:type="dxa"/>
            <w:tcBorders>
              <w:top w:val="single" w:sz="4" w:space="0" w:color="auto"/>
              <w:bottom w:val="single" w:sz="4" w:space="0" w:color="auto"/>
            </w:tcBorders>
            <w:vAlign w:val="center"/>
          </w:tcPr>
          <w:p w:rsidR="005C647D" w:rsidRPr="0036258A" w:rsidRDefault="005C647D" w:rsidP="005C647D">
            <w:pPr>
              <w:jc w:val="right"/>
              <w:rPr>
                <w:rFonts w:eastAsia="Batang"/>
                <w:b/>
              </w:rPr>
            </w:pPr>
            <w:r>
              <w:rPr>
                <w:rFonts w:eastAsia="Batang"/>
                <w:b/>
              </w:rPr>
              <w:t>3</w:t>
            </w:r>
            <w:r w:rsidRPr="0036258A">
              <w:rPr>
                <w:rFonts w:eastAsia="Batang"/>
                <w:b/>
              </w:rPr>
              <w:t>Q</w:t>
            </w:r>
            <w:r>
              <w:rPr>
                <w:rFonts w:eastAsia="Batang"/>
                <w:b/>
              </w:rPr>
              <w:t>12</w:t>
            </w:r>
            <w:r w:rsidRPr="0036258A">
              <w:rPr>
                <w:rFonts w:eastAsia="Batang"/>
                <w:b/>
              </w:rPr>
              <w:t>-</w:t>
            </w:r>
            <w:r>
              <w:rPr>
                <w:rFonts w:eastAsia="Batang"/>
                <w:b/>
              </w:rPr>
              <w:t>3</w:t>
            </w:r>
            <w:r w:rsidRPr="0036258A">
              <w:rPr>
                <w:rFonts w:eastAsia="Batang"/>
                <w:b/>
              </w:rPr>
              <w:t>Q1</w:t>
            </w:r>
            <w:r>
              <w:rPr>
                <w:rFonts w:eastAsia="Batang"/>
                <w:b/>
              </w:rPr>
              <w:t>1</w:t>
            </w:r>
            <w:r w:rsidRPr="0036258A">
              <w:rPr>
                <w:rFonts w:eastAsia="Batang"/>
                <w:b/>
              </w:rPr>
              <w:t xml:space="preserve"> Growth (%)</w:t>
            </w:r>
          </w:p>
        </w:tc>
      </w:tr>
      <w:tr w:rsidR="005C647D" w:rsidRPr="0036258A" w:rsidTr="00B412F2">
        <w:trPr>
          <w:trHeight w:val="225"/>
        </w:trPr>
        <w:tc>
          <w:tcPr>
            <w:tcW w:w="1872" w:type="dxa"/>
            <w:tcBorders>
              <w:top w:val="single" w:sz="4" w:space="0" w:color="auto"/>
            </w:tcBorders>
            <w:vAlign w:val="bottom"/>
          </w:tcPr>
          <w:p w:rsidR="005C647D" w:rsidRDefault="005C647D">
            <w:pPr>
              <w:rPr>
                <w:rFonts w:cs="Arial"/>
              </w:rPr>
            </w:pPr>
            <w:r>
              <w:rPr>
                <w:rFonts w:cs="Arial"/>
              </w:rPr>
              <w:t>HP</w:t>
            </w:r>
          </w:p>
        </w:tc>
        <w:tc>
          <w:tcPr>
            <w:tcW w:w="1728" w:type="dxa"/>
            <w:tcBorders>
              <w:top w:val="single" w:sz="4" w:space="0" w:color="auto"/>
            </w:tcBorders>
            <w:vAlign w:val="bottom"/>
          </w:tcPr>
          <w:p w:rsidR="005C647D" w:rsidRDefault="005C647D">
            <w:pPr>
              <w:jc w:val="right"/>
              <w:rPr>
                <w:rFonts w:cs="Arial"/>
              </w:rPr>
            </w:pPr>
            <w:r>
              <w:rPr>
                <w:rFonts w:cs="Arial"/>
              </w:rPr>
              <w:t>634,793</w:t>
            </w:r>
          </w:p>
        </w:tc>
        <w:tc>
          <w:tcPr>
            <w:tcW w:w="1440" w:type="dxa"/>
            <w:tcBorders>
              <w:top w:val="single" w:sz="4" w:space="0" w:color="auto"/>
            </w:tcBorders>
            <w:vAlign w:val="bottom"/>
          </w:tcPr>
          <w:p w:rsidR="005C647D" w:rsidRDefault="005C647D" w:rsidP="005C647D">
            <w:pPr>
              <w:jc w:val="right"/>
              <w:rPr>
                <w:rFonts w:cs="Arial"/>
              </w:rPr>
            </w:pPr>
            <w:r>
              <w:rPr>
                <w:rFonts w:cs="Arial"/>
              </w:rPr>
              <w:t>25.8</w:t>
            </w:r>
          </w:p>
        </w:tc>
        <w:tc>
          <w:tcPr>
            <w:tcW w:w="1728" w:type="dxa"/>
            <w:tcBorders>
              <w:top w:val="single" w:sz="4" w:space="0" w:color="auto"/>
            </w:tcBorders>
            <w:vAlign w:val="bottom"/>
          </w:tcPr>
          <w:p w:rsidR="005C647D" w:rsidRDefault="005C647D">
            <w:pPr>
              <w:jc w:val="right"/>
              <w:rPr>
                <w:rFonts w:cs="Arial"/>
              </w:rPr>
            </w:pPr>
            <w:r>
              <w:rPr>
                <w:rFonts w:cs="Arial"/>
              </w:rPr>
              <w:t>693,265</w:t>
            </w:r>
          </w:p>
        </w:tc>
        <w:tc>
          <w:tcPr>
            <w:tcW w:w="1440" w:type="dxa"/>
            <w:tcBorders>
              <w:top w:val="single" w:sz="4" w:space="0" w:color="auto"/>
            </w:tcBorders>
            <w:vAlign w:val="bottom"/>
          </w:tcPr>
          <w:p w:rsidR="005C647D" w:rsidRDefault="005C647D">
            <w:pPr>
              <w:jc w:val="right"/>
              <w:rPr>
                <w:rFonts w:cs="Arial"/>
              </w:rPr>
            </w:pPr>
            <w:r>
              <w:rPr>
                <w:rFonts w:cs="Arial"/>
              </w:rPr>
              <w:t>29.2</w:t>
            </w:r>
          </w:p>
        </w:tc>
        <w:tc>
          <w:tcPr>
            <w:tcW w:w="1584" w:type="dxa"/>
            <w:tcBorders>
              <w:top w:val="single" w:sz="4" w:space="0" w:color="auto"/>
            </w:tcBorders>
            <w:vAlign w:val="bottom"/>
          </w:tcPr>
          <w:p w:rsidR="005C647D" w:rsidRDefault="005C647D">
            <w:pPr>
              <w:jc w:val="right"/>
              <w:rPr>
                <w:rFonts w:cs="Arial"/>
              </w:rPr>
            </w:pPr>
            <w:r>
              <w:rPr>
                <w:rFonts w:cs="Arial"/>
              </w:rPr>
              <w:t>-8.4</w:t>
            </w:r>
          </w:p>
        </w:tc>
      </w:tr>
      <w:tr w:rsidR="005C647D" w:rsidRPr="0036258A" w:rsidTr="00B412F2">
        <w:trPr>
          <w:trHeight w:val="225"/>
        </w:trPr>
        <w:tc>
          <w:tcPr>
            <w:tcW w:w="1872" w:type="dxa"/>
            <w:vAlign w:val="bottom"/>
          </w:tcPr>
          <w:p w:rsidR="005C647D" w:rsidRDefault="005C647D">
            <w:pPr>
              <w:rPr>
                <w:rFonts w:cs="Arial"/>
              </w:rPr>
            </w:pPr>
            <w:r>
              <w:rPr>
                <w:rFonts w:cs="Arial"/>
              </w:rPr>
              <w:t>Dell</w:t>
            </w:r>
          </w:p>
        </w:tc>
        <w:tc>
          <w:tcPr>
            <w:tcW w:w="1728" w:type="dxa"/>
            <w:vAlign w:val="bottom"/>
          </w:tcPr>
          <w:p w:rsidR="005C647D" w:rsidRDefault="005C647D">
            <w:pPr>
              <w:jc w:val="right"/>
              <w:rPr>
                <w:rFonts w:cs="Arial"/>
              </w:rPr>
            </w:pPr>
            <w:r>
              <w:rPr>
                <w:rFonts w:cs="Arial"/>
              </w:rPr>
              <w:t>564,475</w:t>
            </w:r>
          </w:p>
        </w:tc>
        <w:tc>
          <w:tcPr>
            <w:tcW w:w="1440" w:type="dxa"/>
            <w:vAlign w:val="bottom"/>
          </w:tcPr>
          <w:p w:rsidR="005C647D" w:rsidRDefault="005C647D">
            <w:pPr>
              <w:jc w:val="right"/>
              <w:rPr>
                <w:rFonts w:cs="Arial"/>
              </w:rPr>
            </w:pPr>
            <w:r>
              <w:rPr>
                <w:rFonts w:cs="Arial"/>
              </w:rPr>
              <w:t>23.0</w:t>
            </w:r>
          </w:p>
        </w:tc>
        <w:tc>
          <w:tcPr>
            <w:tcW w:w="1728" w:type="dxa"/>
            <w:vAlign w:val="bottom"/>
          </w:tcPr>
          <w:p w:rsidR="005C647D" w:rsidRDefault="005C647D">
            <w:pPr>
              <w:jc w:val="right"/>
              <w:rPr>
                <w:rFonts w:cs="Arial"/>
              </w:rPr>
            </w:pPr>
            <w:r>
              <w:rPr>
                <w:rFonts w:cs="Arial"/>
              </w:rPr>
              <w:t>517,867</w:t>
            </w:r>
          </w:p>
        </w:tc>
        <w:tc>
          <w:tcPr>
            <w:tcW w:w="1440" w:type="dxa"/>
            <w:vAlign w:val="bottom"/>
          </w:tcPr>
          <w:p w:rsidR="005C647D" w:rsidRDefault="005C647D">
            <w:pPr>
              <w:jc w:val="right"/>
              <w:rPr>
                <w:rFonts w:cs="Arial"/>
              </w:rPr>
            </w:pPr>
            <w:r>
              <w:rPr>
                <w:rFonts w:cs="Arial"/>
              </w:rPr>
              <w:t>21.8</w:t>
            </w:r>
          </w:p>
        </w:tc>
        <w:tc>
          <w:tcPr>
            <w:tcW w:w="1584" w:type="dxa"/>
            <w:vAlign w:val="bottom"/>
          </w:tcPr>
          <w:p w:rsidR="005C647D" w:rsidRDefault="005C647D">
            <w:pPr>
              <w:jc w:val="right"/>
              <w:rPr>
                <w:rFonts w:cs="Arial"/>
              </w:rPr>
            </w:pPr>
            <w:r>
              <w:rPr>
                <w:rFonts w:cs="Arial"/>
              </w:rPr>
              <w:t>9.0</w:t>
            </w:r>
          </w:p>
        </w:tc>
      </w:tr>
      <w:tr w:rsidR="005C647D" w:rsidRPr="0036258A" w:rsidTr="00B412F2">
        <w:trPr>
          <w:trHeight w:val="225"/>
        </w:trPr>
        <w:tc>
          <w:tcPr>
            <w:tcW w:w="1872" w:type="dxa"/>
            <w:vAlign w:val="bottom"/>
          </w:tcPr>
          <w:p w:rsidR="005C647D" w:rsidRDefault="005C647D">
            <w:pPr>
              <w:rPr>
                <w:rFonts w:cs="Arial"/>
              </w:rPr>
            </w:pPr>
            <w:r>
              <w:rPr>
                <w:rFonts w:cs="Arial"/>
              </w:rPr>
              <w:t>IBM</w:t>
            </w:r>
          </w:p>
        </w:tc>
        <w:tc>
          <w:tcPr>
            <w:tcW w:w="1728" w:type="dxa"/>
            <w:vAlign w:val="bottom"/>
          </w:tcPr>
          <w:p w:rsidR="005C647D" w:rsidRDefault="005C647D">
            <w:pPr>
              <w:jc w:val="right"/>
              <w:rPr>
                <w:rFonts w:cs="Arial"/>
              </w:rPr>
            </w:pPr>
            <w:r>
              <w:rPr>
                <w:rFonts w:cs="Arial"/>
              </w:rPr>
              <w:t>280,424</w:t>
            </w:r>
          </w:p>
        </w:tc>
        <w:tc>
          <w:tcPr>
            <w:tcW w:w="1440" w:type="dxa"/>
            <w:vAlign w:val="bottom"/>
          </w:tcPr>
          <w:p w:rsidR="005C647D" w:rsidRDefault="005C647D">
            <w:pPr>
              <w:jc w:val="right"/>
              <w:rPr>
                <w:rFonts w:cs="Arial"/>
              </w:rPr>
            </w:pPr>
            <w:r>
              <w:rPr>
                <w:rFonts w:cs="Arial"/>
              </w:rPr>
              <w:t>11.4</w:t>
            </w:r>
          </w:p>
        </w:tc>
        <w:tc>
          <w:tcPr>
            <w:tcW w:w="1728" w:type="dxa"/>
            <w:vAlign w:val="bottom"/>
          </w:tcPr>
          <w:p w:rsidR="005C647D" w:rsidRDefault="005C647D">
            <w:pPr>
              <w:jc w:val="right"/>
              <w:rPr>
                <w:rFonts w:cs="Arial"/>
              </w:rPr>
            </w:pPr>
            <w:r>
              <w:rPr>
                <w:rFonts w:cs="Arial"/>
              </w:rPr>
              <w:t>287,507</w:t>
            </w:r>
          </w:p>
        </w:tc>
        <w:tc>
          <w:tcPr>
            <w:tcW w:w="1440" w:type="dxa"/>
            <w:vAlign w:val="bottom"/>
          </w:tcPr>
          <w:p w:rsidR="005C647D" w:rsidRDefault="005C647D">
            <w:pPr>
              <w:jc w:val="right"/>
              <w:rPr>
                <w:rFonts w:cs="Arial"/>
              </w:rPr>
            </w:pPr>
            <w:r>
              <w:rPr>
                <w:rFonts w:cs="Arial"/>
              </w:rPr>
              <w:t>12.1</w:t>
            </w:r>
          </w:p>
        </w:tc>
        <w:tc>
          <w:tcPr>
            <w:tcW w:w="1584" w:type="dxa"/>
            <w:vAlign w:val="bottom"/>
          </w:tcPr>
          <w:p w:rsidR="005C647D" w:rsidRDefault="005C647D">
            <w:pPr>
              <w:jc w:val="right"/>
              <w:rPr>
                <w:rFonts w:cs="Arial"/>
              </w:rPr>
            </w:pPr>
            <w:r>
              <w:rPr>
                <w:rFonts w:cs="Arial"/>
              </w:rPr>
              <w:t>-2.5</w:t>
            </w:r>
          </w:p>
        </w:tc>
      </w:tr>
      <w:tr w:rsidR="005C647D" w:rsidRPr="0036258A" w:rsidTr="00B412F2">
        <w:trPr>
          <w:trHeight w:val="225"/>
        </w:trPr>
        <w:tc>
          <w:tcPr>
            <w:tcW w:w="1872" w:type="dxa"/>
            <w:vAlign w:val="bottom"/>
          </w:tcPr>
          <w:p w:rsidR="005C647D" w:rsidRDefault="005C647D">
            <w:pPr>
              <w:rPr>
                <w:rFonts w:cs="Arial"/>
              </w:rPr>
            </w:pPr>
            <w:r>
              <w:rPr>
                <w:rFonts w:cs="Arial"/>
              </w:rPr>
              <w:t>Fujitsu</w:t>
            </w:r>
          </w:p>
        </w:tc>
        <w:tc>
          <w:tcPr>
            <w:tcW w:w="1728" w:type="dxa"/>
            <w:vAlign w:val="bottom"/>
          </w:tcPr>
          <w:p w:rsidR="005C647D" w:rsidRDefault="005C647D">
            <w:pPr>
              <w:jc w:val="right"/>
              <w:rPr>
                <w:rFonts w:cs="Arial"/>
              </w:rPr>
            </w:pPr>
            <w:r>
              <w:rPr>
                <w:rFonts w:cs="Arial"/>
              </w:rPr>
              <w:t>76,128</w:t>
            </w:r>
          </w:p>
        </w:tc>
        <w:tc>
          <w:tcPr>
            <w:tcW w:w="1440" w:type="dxa"/>
            <w:vAlign w:val="bottom"/>
          </w:tcPr>
          <w:p w:rsidR="005C647D" w:rsidRDefault="005C647D">
            <w:pPr>
              <w:jc w:val="right"/>
              <w:rPr>
                <w:rFonts w:cs="Arial"/>
              </w:rPr>
            </w:pPr>
            <w:r>
              <w:rPr>
                <w:rFonts w:cs="Arial"/>
              </w:rPr>
              <w:t>3.1</w:t>
            </w:r>
          </w:p>
        </w:tc>
        <w:tc>
          <w:tcPr>
            <w:tcW w:w="1728" w:type="dxa"/>
            <w:vAlign w:val="bottom"/>
          </w:tcPr>
          <w:p w:rsidR="005C647D" w:rsidRDefault="005C647D">
            <w:pPr>
              <w:jc w:val="right"/>
              <w:rPr>
                <w:rFonts w:cs="Arial"/>
              </w:rPr>
            </w:pPr>
            <w:r>
              <w:rPr>
                <w:rFonts w:cs="Arial"/>
              </w:rPr>
              <w:t>79,072</w:t>
            </w:r>
          </w:p>
        </w:tc>
        <w:tc>
          <w:tcPr>
            <w:tcW w:w="1440" w:type="dxa"/>
            <w:vAlign w:val="bottom"/>
          </w:tcPr>
          <w:p w:rsidR="005C647D" w:rsidRDefault="005C647D">
            <w:pPr>
              <w:jc w:val="right"/>
              <w:rPr>
                <w:rFonts w:cs="Arial"/>
              </w:rPr>
            </w:pPr>
            <w:r>
              <w:rPr>
                <w:rFonts w:cs="Arial"/>
              </w:rPr>
              <w:t>3.3</w:t>
            </w:r>
          </w:p>
        </w:tc>
        <w:tc>
          <w:tcPr>
            <w:tcW w:w="1584" w:type="dxa"/>
            <w:vAlign w:val="bottom"/>
          </w:tcPr>
          <w:p w:rsidR="005C647D" w:rsidRDefault="005C647D">
            <w:pPr>
              <w:jc w:val="right"/>
              <w:rPr>
                <w:rFonts w:cs="Arial"/>
              </w:rPr>
            </w:pPr>
            <w:r>
              <w:rPr>
                <w:rFonts w:cs="Arial"/>
              </w:rPr>
              <w:t>-3.7</w:t>
            </w:r>
          </w:p>
        </w:tc>
      </w:tr>
      <w:tr w:rsidR="005C647D" w:rsidRPr="0036258A" w:rsidTr="00B412F2">
        <w:trPr>
          <w:trHeight w:val="225"/>
        </w:trPr>
        <w:tc>
          <w:tcPr>
            <w:tcW w:w="1872" w:type="dxa"/>
            <w:vAlign w:val="bottom"/>
          </w:tcPr>
          <w:p w:rsidR="005C647D" w:rsidRDefault="005C647D">
            <w:pPr>
              <w:rPr>
                <w:rFonts w:cs="Arial"/>
              </w:rPr>
            </w:pPr>
            <w:r>
              <w:rPr>
                <w:rFonts w:cs="Arial"/>
              </w:rPr>
              <w:t>Cisco</w:t>
            </w:r>
          </w:p>
        </w:tc>
        <w:tc>
          <w:tcPr>
            <w:tcW w:w="1728" w:type="dxa"/>
            <w:vAlign w:val="bottom"/>
          </w:tcPr>
          <w:p w:rsidR="005C647D" w:rsidRDefault="005C647D">
            <w:pPr>
              <w:jc w:val="right"/>
              <w:rPr>
                <w:rFonts w:cs="Arial"/>
              </w:rPr>
            </w:pPr>
            <w:r>
              <w:rPr>
                <w:rFonts w:cs="Arial"/>
              </w:rPr>
              <w:t>55,973</w:t>
            </w:r>
          </w:p>
        </w:tc>
        <w:tc>
          <w:tcPr>
            <w:tcW w:w="1440" w:type="dxa"/>
            <w:vAlign w:val="bottom"/>
          </w:tcPr>
          <w:p w:rsidR="005C647D" w:rsidRDefault="005C647D">
            <w:pPr>
              <w:jc w:val="right"/>
              <w:rPr>
                <w:rFonts w:cs="Arial"/>
              </w:rPr>
            </w:pPr>
            <w:r>
              <w:rPr>
                <w:rFonts w:cs="Arial"/>
              </w:rPr>
              <w:t>2.3</w:t>
            </w:r>
          </w:p>
        </w:tc>
        <w:tc>
          <w:tcPr>
            <w:tcW w:w="1728" w:type="dxa"/>
            <w:vAlign w:val="bottom"/>
          </w:tcPr>
          <w:p w:rsidR="005C647D" w:rsidRDefault="005C647D">
            <w:pPr>
              <w:jc w:val="right"/>
              <w:rPr>
                <w:rFonts w:cs="Arial"/>
              </w:rPr>
            </w:pPr>
            <w:r>
              <w:rPr>
                <w:rFonts w:cs="Arial"/>
              </w:rPr>
              <w:t>39,864</w:t>
            </w:r>
          </w:p>
        </w:tc>
        <w:tc>
          <w:tcPr>
            <w:tcW w:w="1440" w:type="dxa"/>
            <w:vAlign w:val="bottom"/>
          </w:tcPr>
          <w:p w:rsidR="005C647D" w:rsidRDefault="005C647D">
            <w:pPr>
              <w:jc w:val="right"/>
              <w:rPr>
                <w:rFonts w:cs="Arial"/>
              </w:rPr>
            </w:pPr>
            <w:r>
              <w:rPr>
                <w:rFonts w:cs="Arial"/>
              </w:rPr>
              <w:t>1.7</w:t>
            </w:r>
          </w:p>
        </w:tc>
        <w:tc>
          <w:tcPr>
            <w:tcW w:w="1584" w:type="dxa"/>
            <w:vAlign w:val="bottom"/>
          </w:tcPr>
          <w:p w:rsidR="005C647D" w:rsidRDefault="005C647D">
            <w:pPr>
              <w:jc w:val="right"/>
              <w:rPr>
                <w:rFonts w:cs="Arial"/>
              </w:rPr>
            </w:pPr>
            <w:r>
              <w:rPr>
                <w:rFonts w:cs="Arial"/>
              </w:rPr>
              <w:t>40.4</w:t>
            </w:r>
          </w:p>
        </w:tc>
      </w:tr>
      <w:tr w:rsidR="005C647D" w:rsidRPr="0036258A" w:rsidTr="00B412F2">
        <w:trPr>
          <w:trHeight w:val="240"/>
        </w:trPr>
        <w:tc>
          <w:tcPr>
            <w:tcW w:w="1872" w:type="dxa"/>
            <w:vAlign w:val="bottom"/>
          </w:tcPr>
          <w:p w:rsidR="005C647D" w:rsidRDefault="005C647D" w:rsidP="00B412F2">
            <w:pPr>
              <w:rPr>
                <w:rFonts w:cs="Arial"/>
              </w:rPr>
            </w:pPr>
            <w:r>
              <w:rPr>
                <w:rFonts w:cs="Arial"/>
              </w:rPr>
              <w:t>Other Vendors</w:t>
            </w:r>
          </w:p>
        </w:tc>
        <w:tc>
          <w:tcPr>
            <w:tcW w:w="1728" w:type="dxa"/>
            <w:vAlign w:val="bottom"/>
          </w:tcPr>
          <w:p w:rsidR="005C647D" w:rsidRDefault="005C647D" w:rsidP="005C647D">
            <w:pPr>
              <w:jc w:val="right"/>
              <w:rPr>
                <w:rFonts w:cs="Arial"/>
              </w:rPr>
            </w:pPr>
            <w:r>
              <w:rPr>
                <w:rFonts w:cs="Arial"/>
              </w:rPr>
              <w:t>846,734</w:t>
            </w:r>
          </w:p>
        </w:tc>
        <w:tc>
          <w:tcPr>
            <w:tcW w:w="1440" w:type="dxa"/>
            <w:vAlign w:val="bottom"/>
          </w:tcPr>
          <w:p w:rsidR="005C647D" w:rsidRDefault="005C647D" w:rsidP="005C647D">
            <w:pPr>
              <w:jc w:val="right"/>
              <w:rPr>
                <w:rFonts w:cs="Arial"/>
              </w:rPr>
            </w:pPr>
            <w:r>
              <w:rPr>
                <w:rFonts w:cs="Arial"/>
              </w:rPr>
              <w:t>34.4</w:t>
            </w:r>
          </w:p>
        </w:tc>
        <w:tc>
          <w:tcPr>
            <w:tcW w:w="1728" w:type="dxa"/>
            <w:vAlign w:val="bottom"/>
          </w:tcPr>
          <w:p w:rsidR="005C647D" w:rsidRDefault="005C647D" w:rsidP="005C647D">
            <w:pPr>
              <w:jc w:val="right"/>
              <w:rPr>
                <w:rFonts w:cs="Arial"/>
              </w:rPr>
            </w:pPr>
            <w:r>
              <w:rPr>
                <w:rFonts w:cs="Arial"/>
              </w:rPr>
              <w:t>756,022</w:t>
            </w:r>
          </w:p>
        </w:tc>
        <w:tc>
          <w:tcPr>
            <w:tcW w:w="1440" w:type="dxa"/>
            <w:vAlign w:val="bottom"/>
          </w:tcPr>
          <w:p w:rsidR="005C647D" w:rsidRDefault="005C647D" w:rsidP="005C647D">
            <w:pPr>
              <w:jc w:val="right"/>
              <w:rPr>
                <w:rFonts w:cs="Arial"/>
              </w:rPr>
            </w:pPr>
            <w:r>
              <w:rPr>
                <w:rFonts w:cs="Arial"/>
              </w:rPr>
              <w:t>31.9</w:t>
            </w:r>
          </w:p>
        </w:tc>
        <w:tc>
          <w:tcPr>
            <w:tcW w:w="1584" w:type="dxa"/>
            <w:vAlign w:val="bottom"/>
          </w:tcPr>
          <w:p w:rsidR="005C647D" w:rsidRDefault="005C647D" w:rsidP="005C647D">
            <w:pPr>
              <w:jc w:val="right"/>
              <w:rPr>
                <w:rFonts w:cs="Arial"/>
              </w:rPr>
            </w:pPr>
            <w:r>
              <w:rPr>
                <w:rFonts w:cs="Arial"/>
              </w:rPr>
              <w:t>12.0</w:t>
            </w:r>
          </w:p>
        </w:tc>
      </w:tr>
      <w:tr w:rsidR="005C647D" w:rsidRPr="005C647D" w:rsidTr="00B412F2">
        <w:trPr>
          <w:trHeight w:val="225"/>
        </w:trPr>
        <w:tc>
          <w:tcPr>
            <w:tcW w:w="1872" w:type="dxa"/>
            <w:vAlign w:val="bottom"/>
          </w:tcPr>
          <w:p w:rsidR="005C647D" w:rsidRPr="005C647D" w:rsidRDefault="005C647D" w:rsidP="00B412F2">
            <w:pPr>
              <w:jc w:val="left"/>
              <w:rPr>
                <w:rFonts w:eastAsia="Batang"/>
                <w:b/>
              </w:rPr>
            </w:pPr>
            <w:r w:rsidRPr="005C647D">
              <w:rPr>
                <w:rFonts w:eastAsia="Batang"/>
                <w:b/>
              </w:rPr>
              <w:t>Total</w:t>
            </w:r>
          </w:p>
        </w:tc>
        <w:tc>
          <w:tcPr>
            <w:tcW w:w="1728" w:type="dxa"/>
            <w:vAlign w:val="bottom"/>
          </w:tcPr>
          <w:p w:rsidR="005C647D" w:rsidRPr="005C647D" w:rsidRDefault="005C647D" w:rsidP="005C647D">
            <w:pPr>
              <w:jc w:val="right"/>
              <w:rPr>
                <w:rFonts w:cs="Arial"/>
                <w:b/>
              </w:rPr>
            </w:pPr>
            <w:r w:rsidRPr="005C647D">
              <w:rPr>
                <w:rFonts w:cs="Arial"/>
                <w:b/>
              </w:rPr>
              <w:t>2,458,527</w:t>
            </w:r>
          </w:p>
        </w:tc>
        <w:tc>
          <w:tcPr>
            <w:tcW w:w="1440" w:type="dxa"/>
            <w:vAlign w:val="center"/>
          </w:tcPr>
          <w:p w:rsidR="005C647D" w:rsidRPr="005C647D" w:rsidRDefault="005C647D" w:rsidP="00B412F2">
            <w:pPr>
              <w:jc w:val="right"/>
              <w:rPr>
                <w:rFonts w:eastAsia="Batang"/>
                <w:b/>
              </w:rPr>
            </w:pPr>
            <w:r w:rsidRPr="005C647D">
              <w:rPr>
                <w:rFonts w:eastAsia="Batang"/>
                <w:b/>
              </w:rPr>
              <w:t>100.0</w:t>
            </w:r>
          </w:p>
        </w:tc>
        <w:tc>
          <w:tcPr>
            <w:tcW w:w="1728" w:type="dxa"/>
            <w:vAlign w:val="bottom"/>
          </w:tcPr>
          <w:p w:rsidR="005C647D" w:rsidRPr="005C647D" w:rsidRDefault="005C647D" w:rsidP="005C647D">
            <w:pPr>
              <w:jc w:val="right"/>
              <w:rPr>
                <w:rFonts w:cs="Arial"/>
                <w:b/>
              </w:rPr>
            </w:pPr>
            <w:r w:rsidRPr="005C647D">
              <w:rPr>
                <w:rFonts w:cs="Arial"/>
                <w:b/>
              </w:rPr>
              <w:t>2,373,596</w:t>
            </w:r>
          </w:p>
        </w:tc>
        <w:tc>
          <w:tcPr>
            <w:tcW w:w="1440" w:type="dxa"/>
            <w:vAlign w:val="center"/>
          </w:tcPr>
          <w:p w:rsidR="005C647D" w:rsidRPr="005C647D" w:rsidRDefault="005C647D" w:rsidP="00B412F2">
            <w:pPr>
              <w:jc w:val="right"/>
              <w:rPr>
                <w:rFonts w:eastAsia="Batang"/>
                <w:b/>
              </w:rPr>
            </w:pPr>
            <w:r w:rsidRPr="005C647D">
              <w:rPr>
                <w:rFonts w:eastAsia="Batang"/>
                <w:b/>
              </w:rPr>
              <w:t>100.0</w:t>
            </w:r>
          </w:p>
        </w:tc>
        <w:tc>
          <w:tcPr>
            <w:tcW w:w="1584" w:type="dxa"/>
            <w:vAlign w:val="center"/>
          </w:tcPr>
          <w:p w:rsidR="005C647D" w:rsidRPr="005C647D" w:rsidRDefault="005C647D" w:rsidP="00B412F2">
            <w:pPr>
              <w:jc w:val="right"/>
              <w:rPr>
                <w:rFonts w:eastAsia="Batang"/>
                <w:b/>
              </w:rPr>
            </w:pPr>
            <w:r w:rsidRPr="005C647D">
              <w:rPr>
                <w:rFonts w:eastAsia="Batang"/>
                <w:b/>
              </w:rPr>
              <w:t>3.6</w:t>
            </w:r>
          </w:p>
        </w:tc>
      </w:tr>
    </w:tbl>
    <w:p w:rsidR="005C647D" w:rsidRPr="00680494" w:rsidRDefault="005C647D" w:rsidP="005C647D">
      <w:pPr>
        <w:pStyle w:val="contact"/>
        <w:rPr>
          <w:rFonts w:ascii="Arial" w:hAnsi="Arial"/>
          <w:sz w:val="18"/>
          <w:szCs w:val="18"/>
        </w:rPr>
      </w:pPr>
      <w:r w:rsidRPr="00680494">
        <w:rPr>
          <w:rFonts w:ascii="Arial" w:hAnsi="Arial"/>
          <w:sz w:val="18"/>
          <w:szCs w:val="18"/>
        </w:rPr>
        <w:t>Source: Gartner (</w:t>
      </w:r>
      <w:r>
        <w:rPr>
          <w:rFonts w:ascii="Arial" w:hAnsi="Arial"/>
          <w:sz w:val="18"/>
          <w:szCs w:val="18"/>
        </w:rPr>
        <w:t>November</w:t>
      </w:r>
      <w:r w:rsidRPr="00680494">
        <w:rPr>
          <w:rFonts w:ascii="Arial" w:hAnsi="Arial"/>
          <w:sz w:val="18"/>
          <w:szCs w:val="18"/>
        </w:rPr>
        <w:t xml:space="preserve"> 2012)</w:t>
      </w:r>
    </w:p>
    <w:p w:rsidR="005C647D" w:rsidRDefault="005C647D" w:rsidP="00C649C4">
      <w:pPr>
        <w:pStyle w:val="BodyText"/>
        <w:widowControl/>
        <w:spacing w:after="0" w:line="240" w:lineRule="auto"/>
        <w:rPr>
          <w:szCs w:val="22"/>
          <w:lang w:val="en-GB"/>
        </w:rPr>
      </w:pPr>
    </w:p>
    <w:p w:rsidR="005C29E3" w:rsidRPr="006A05B2" w:rsidRDefault="005C29E3" w:rsidP="005C29E3">
      <w:pPr>
        <w:pStyle w:val="BodyText"/>
        <w:spacing w:after="0" w:line="240" w:lineRule="auto"/>
      </w:pPr>
      <w:r w:rsidRPr="006A05B2">
        <w:t xml:space="preserve">In Europe, the Middle East and Africa (EMEA), server shipments </w:t>
      </w:r>
      <w:r>
        <w:t>total</w:t>
      </w:r>
      <w:r w:rsidR="00473566">
        <w:t>l</w:t>
      </w:r>
      <w:r>
        <w:t xml:space="preserve">ed almost 590,000 units in the third </w:t>
      </w:r>
      <w:r w:rsidRPr="006A05B2">
        <w:t>quarter of 201</w:t>
      </w:r>
      <w:r>
        <w:t>2, down 2.8</w:t>
      </w:r>
      <w:r w:rsidRPr="006A05B2">
        <w:t xml:space="preserve"> per</w:t>
      </w:r>
      <w:r w:rsidR="00473566">
        <w:t xml:space="preserve"> </w:t>
      </w:r>
      <w:r w:rsidRPr="006A05B2">
        <w:t xml:space="preserve">cent from the same period </w:t>
      </w:r>
      <w:r>
        <w:t xml:space="preserve">of </w:t>
      </w:r>
      <w:r w:rsidR="00473566">
        <w:t>2011 (see Table 4</w:t>
      </w:r>
      <w:r w:rsidRPr="005C29E3">
        <w:t>).</w:t>
      </w:r>
      <w:r w:rsidRPr="006A05B2">
        <w:t xml:space="preserve"> Server revenue tota</w:t>
      </w:r>
      <w:r w:rsidR="00473566">
        <w:t>l</w:t>
      </w:r>
      <w:r w:rsidRPr="006A05B2">
        <w:t>l</w:t>
      </w:r>
      <w:r>
        <w:t>e</w:t>
      </w:r>
      <w:r w:rsidRPr="006A05B2">
        <w:t>d $</w:t>
      </w:r>
      <w:r>
        <w:t>3 billion</w:t>
      </w:r>
      <w:r w:rsidRPr="006A05B2">
        <w:t xml:space="preserve">, a </w:t>
      </w:r>
      <w:r>
        <w:t>decline</w:t>
      </w:r>
      <w:r w:rsidRPr="006A05B2">
        <w:t xml:space="preserve"> of </w:t>
      </w:r>
      <w:r>
        <w:t xml:space="preserve">9 </w:t>
      </w:r>
      <w:r w:rsidRPr="006A05B2">
        <w:t>per</w:t>
      </w:r>
      <w:r w:rsidR="00473566">
        <w:t xml:space="preserve"> </w:t>
      </w:r>
      <w:r w:rsidRPr="006A05B2">
        <w:t xml:space="preserve">cent </w:t>
      </w:r>
      <w:r>
        <w:t>year</w:t>
      </w:r>
      <w:r w:rsidR="00473566">
        <w:t>-</w:t>
      </w:r>
      <w:r>
        <w:t>on</w:t>
      </w:r>
      <w:r w:rsidR="00473566">
        <w:t>-</w:t>
      </w:r>
      <w:r>
        <w:t>year</w:t>
      </w:r>
      <w:r w:rsidRPr="006A05B2">
        <w:t xml:space="preserve"> </w:t>
      </w:r>
      <w:r w:rsidR="00473566">
        <w:t>(see Table 3</w:t>
      </w:r>
      <w:r w:rsidRPr="005C29E3">
        <w:t>).</w:t>
      </w:r>
      <w:r w:rsidRPr="006A05B2">
        <w:t xml:space="preserve"> </w:t>
      </w:r>
    </w:p>
    <w:p w:rsidR="005C29E3" w:rsidRDefault="005C29E3" w:rsidP="005C29E3">
      <w:pPr>
        <w:pStyle w:val="BodyText"/>
        <w:spacing w:after="0" w:line="240" w:lineRule="auto"/>
      </w:pPr>
    </w:p>
    <w:p w:rsidR="005C29E3" w:rsidRDefault="005C29E3" w:rsidP="005C29E3">
      <w:pPr>
        <w:pStyle w:val="BodyText"/>
        <w:spacing w:after="0" w:line="240" w:lineRule="auto"/>
      </w:pPr>
      <w:r w:rsidRPr="002E5E36">
        <w:t>“</w:t>
      </w:r>
      <w:r>
        <w:t>Against a backdrop of continued economic and business challenges, EMEA remains the weak spot for global server sales,” said Adrian O’Connell, research director at Gartner. “Each of the three EMEA sub regions saw revenue contract: Western Europe by 7.6 per</w:t>
      </w:r>
      <w:r w:rsidR="00473566">
        <w:t xml:space="preserve"> </w:t>
      </w:r>
      <w:r>
        <w:t>cent, Eastern Europe by 11.8 per</w:t>
      </w:r>
      <w:r w:rsidR="00473566">
        <w:t xml:space="preserve"> </w:t>
      </w:r>
      <w:r>
        <w:t>cent, and the Middle East and Africa by 14.0 per</w:t>
      </w:r>
      <w:r w:rsidR="00473566">
        <w:t xml:space="preserve"> </w:t>
      </w:r>
      <w:r>
        <w:t>cent. We’re not seeing signs of demand weakening significantly, but EMEA continues to present a very challenging environment for server vendors to operate in.”</w:t>
      </w:r>
    </w:p>
    <w:p w:rsidR="005C29E3" w:rsidRDefault="005C29E3" w:rsidP="005C29E3">
      <w:pPr>
        <w:pStyle w:val="BodyText"/>
        <w:spacing w:after="0" w:line="240" w:lineRule="auto"/>
      </w:pPr>
    </w:p>
    <w:p w:rsidR="005C29E3" w:rsidRDefault="005C29E3" w:rsidP="005C29E3">
      <w:pPr>
        <w:pStyle w:val="BodyText"/>
        <w:spacing w:after="0" w:line="240" w:lineRule="auto"/>
      </w:pPr>
      <w:r>
        <w:t>Each of the technology segments declined, with x86 server revenue dropping by 4.5 per</w:t>
      </w:r>
      <w:r w:rsidR="00473566">
        <w:t xml:space="preserve"> </w:t>
      </w:r>
      <w:r>
        <w:t>cent, RISC/Itanium Unix revenue by 18.5 per</w:t>
      </w:r>
      <w:r w:rsidR="00473566">
        <w:t xml:space="preserve"> </w:t>
      </w:r>
      <w:r>
        <w:t>cent, and the Other CPU segment by 29.3 per</w:t>
      </w:r>
      <w:r w:rsidR="00473566">
        <w:t xml:space="preserve"> </w:t>
      </w:r>
      <w:r>
        <w:t xml:space="preserve">cent. </w:t>
      </w:r>
    </w:p>
    <w:p w:rsidR="005C29E3" w:rsidRDefault="005C29E3" w:rsidP="005C29E3">
      <w:pPr>
        <w:pStyle w:val="BodyText"/>
        <w:spacing w:after="0" w:line="240" w:lineRule="auto"/>
      </w:pPr>
    </w:p>
    <w:p w:rsidR="005C29E3" w:rsidRDefault="005C29E3" w:rsidP="005C29E3">
      <w:pPr>
        <w:pStyle w:val="BodyText"/>
        <w:spacing w:after="0" w:line="240" w:lineRule="auto"/>
      </w:pPr>
      <w:r>
        <w:t>Four of the top five vendors suffered revenue declines. The exception was Dell, which achieved 9.7 per</w:t>
      </w:r>
      <w:r w:rsidR="00473566">
        <w:t xml:space="preserve"> </w:t>
      </w:r>
      <w:r>
        <w:t>cent growth. The continued improvement of Dell's enterprise capabilities and the expansion of its channel coverage have enabled it to buck current trends, but it remained in third place for overall EMEA server revenue. HP, despite suffering a 16.7 per</w:t>
      </w:r>
      <w:r w:rsidR="00473566">
        <w:t xml:space="preserve"> </w:t>
      </w:r>
      <w:r>
        <w:t>cent fall, kept the revenue lead in EMEA. It was followed by IBM, which saw a 7.7 per</w:t>
      </w:r>
      <w:r w:rsidR="00473566">
        <w:t xml:space="preserve"> </w:t>
      </w:r>
      <w:r>
        <w:t>cent decline.</w:t>
      </w:r>
    </w:p>
    <w:p w:rsidR="005C29E3" w:rsidRDefault="005C29E3" w:rsidP="005C29E3">
      <w:pPr>
        <w:pStyle w:val="BodyText"/>
        <w:spacing w:after="0" w:line="240" w:lineRule="auto"/>
      </w:pPr>
    </w:p>
    <w:p w:rsidR="00D8314F" w:rsidRDefault="005C29E3" w:rsidP="00473566">
      <w:pPr>
        <w:pStyle w:val="BodyText"/>
        <w:spacing w:after="0" w:line="240" w:lineRule="auto"/>
        <w:rPr>
          <w:szCs w:val="22"/>
          <w:lang w:val="en-GB"/>
        </w:rPr>
      </w:pPr>
      <w:r>
        <w:t>“The outlook for the fourth quarter in EMEA looks similar to what we have witnessed in the year so far, with constraints on demand limiting t</w:t>
      </w:r>
      <w:r w:rsidR="00473566">
        <w:t>he market opportunity,” said Mr</w:t>
      </w:r>
      <w:r>
        <w:t xml:space="preserve"> O’Connell. “Vendors are under constant pressure to deliver the most effective execution. With limited overall demand, they will have to consider competitive migrations as their best opportunities for growth and market share gains. This year's fourth </w:t>
      </w:r>
      <w:r>
        <w:lastRenderedPageBreak/>
        <w:t>quarter might not be an especially festive period for every server vendor.”</w:t>
      </w:r>
    </w:p>
    <w:p w:rsidR="005C29E3" w:rsidRDefault="005C29E3" w:rsidP="00C649C4">
      <w:pPr>
        <w:pStyle w:val="BodyText"/>
        <w:widowControl/>
        <w:spacing w:after="0" w:line="240" w:lineRule="auto"/>
        <w:rPr>
          <w:szCs w:val="22"/>
          <w:lang w:val="en-GB"/>
        </w:rPr>
      </w:pPr>
    </w:p>
    <w:p w:rsidR="005C29E3" w:rsidRPr="0036258A" w:rsidRDefault="005C29E3" w:rsidP="005C29E3">
      <w:pPr>
        <w:jc w:val="left"/>
        <w:rPr>
          <w:b/>
          <w:sz w:val="22"/>
        </w:rPr>
      </w:pPr>
      <w:r w:rsidRPr="0036258A">
        <w:rPr>
          <w:b/>
          <w:sz w:val="22"/>
        </w:rPr>
        <w:t xml:space="preserve">Table </w:t>
      </w:r>
      <w:r>
        <w:rPr>
          <w:b/>
          <w:sz w:val="22"/>
        </w:rPr>
        <w:t>3</w:t>
      </w:r>
      <w:r>
        <w:rPr>
          <w:b/>
          <w:sz w:val="22"/>
        </w:rPr>
        <w:br/>
        <w:t>EMEA</w:t>
      </w:r>
      <w:r w:rsidRPr="0036258A">
        <w:rPr>
          <w:b/>
          <w:sz w:val="22"/>
        </w:rPr>
        <w:t xml:space="preserve">: Server Vendor </w:t>
      </w:r>
      <w:r>
        <w:rPr>
          <w:b/>
          <w:sz w:val="22"/>
        </w:rPr>
        <w:t>Revenue</w:t>
      </w:r>
      <w:r w:rsidRPr="0036258A">
        <w:rPr>
          <w:b/>
          <w:sz w:val="22"/>
        </w:rPr>
        <w:t xml:space="preserve"> Estimates, </w:t>
      </w:r>
      <w:r>
        <w:rPr>
          <w:b/>
          <w:sz w:val="22"/>
        </w:rPr>
        <w:t>3</w:t>
      </w:r>
      <w:r w:rsidRPr="0036258A">
        <w:rPr>
          <w:b/>
          <w:sz w:val="22"/>
        </w:rPr>
        <w:t>Q1</w:t>
      </w:r>
      <w:r>
        <w:rPr>
          <w:b/>
          <w:sz w:val="22"/>
        </w:rPr>
        <w:t>2</w:t>
      </w:r>
      <w:r w:rsidRPr="0036258A">
        <w:rPr>
          <w:b/>
          <w:sz w:val="22"/>
        </w:rPr>
        <w:t xml:space="preserve"> (</w:t>
      </w:r>
      <w:r>
        <w:rPr>
          <w:b/>
          <w:sz w:val="22"/>
        </w:rPr>
        <w:t>Millions of US Dollars</w:t>
      </w:r>
      <w:r w:rsidRPr="0036258A">
        <w:rPr>
          <w:b/>
          <w:sz w:val="22"/>
        </w:rPr>
        <w:t>)</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5C29E3" w:rsidRPr="0036258A" w:rsidTr="00B412F2">
        <w:trPr>
          <w:trHeight w:val="225"/>
        </w:trPr>
        <w:tc>
          <w:tcPr>
            <w:tcW w:w="1872" w:type="dxa"/>
            <w:tcBorders>
              <w:top w:val="single" w:sz="4" w:space="0" w:color="auto"/>
            </w:tcBorders>
            <w:vAlign w:val="bottom"/>
          </w:tcPr>
          <w:p w:rsidR="005C29E3" w:rsidRPr="0036258A" w:rsidRDefault="005C29E3" w:rsidP="00B412F2">
            <w:pPr>
              <w:jc w:val="left"/>
              <w:rPr>
                <w:rFonts w:eastAsia="Batang"/>
                <w:b/>
              </w:rPr>
            </w:pPr>
            <w:r w:rsidRPr="0036258A">
              <w:rPr>
                <w:rFonts w:eastAsia="Batang"/>
                <w:b/>
              </w:rPr>
              <w:t>Company</w:t>
            </w:r>
          </w:p>
        </w:tc>
        <w:tc>
          <w:tcPr>
            <w:tcW w:w="1728" w:type="dxa"/>
            <w:tcBorders>
              <w:top w:val="single" w:sz="4" w:space="0" w:color="auto"/>
            </w:tcBorders>
            <w:vAlign w:val="bottom"/>
          </w:tcPr>
          <w:p w:rsidR="005C29E3" w:rsidRPr="0036258A" w:rsidRDefault="005C29E3" w:rsidP="00B412F2">
            <w:pPr>
              <w:jc w:val="right"/>
              <w:rPr>
                <w:rFonts w:eastAsia="Batang"/>
                <w:b/>
              </w:rPr>
            </w:pPr>
            <w:r>
              <w:rPr>
                <w:rFonts w:eastAsia="Batang"/>
                <w:b/>
              </w:rPr>
              <w:t>3</w:t>
            </w:r>
            <w:r w:rsidRPr="0036258A">
              <w:rPr>
                <w:rFonts w:eastAsia="Batang"/>
                <w:b/>
              </w:rPr>
              <w:t>Q1</w:t>
            </w:r>
            <w:r>
              <w:rPr>
                <w:rFonts w:eastAsia="Batang"/>
                <w:b/>
              </w:rPr>
              <w:t>2</w:t>
            </w:r>
          </w:p>
          <w:p w:rsidR="005C29E3" w:rsidRPr="0036258A" w:rsidRDefault="005C29E3" w:rsidP="00B412F2">
            <w:pPr>
              <w:jc w:val="right"/>
              <w:rPr>
                <w:rFonts w:eastAsia="Batang"/>
                <w:b/>
              </w:rPr>
            </w:pPr>
            <w:r>
              <w:rPr>
                <w:rFonts w:eastAsia="Batang"/>
                <w:b/>
              </w:rPr>
              <w:t>Revenue</w:t>
            </w:r>
          </w:p>
        </w:tc>
        <w:tc>
          <w:tcPr>
            <w:tcW w:w="1440" w:type="dxa"/>
            <w:tcBorders>
              <w:top w:val="single" w:sz="4" w:space="0" w:color="auto"/>
            </w:tcBorders>
            <w:vAlign w:val="center"/>
          </w:tcPr>
          <w:p w:rsidR="005C29E3" w:rsidRPr="0036258A" w:rsidRDefault="005C29E3" w:rsidP="00B412F2">
            <w:pPr>
              <w:jc w:val="right"/>
              <w:rPr>
                <w:rFonts w:eastAsia="Batang"/>
                <w:b/>
              </w:rPr>
            </w:pPr>
            <w:r>
              <w:rPr>
                <w:rFonts w:eastAsia="Batang"/>
                <w:b/>
              </w:rPr>
              <w:t>3</w:t>
            </w:r>
            <w:r w:rsidRPr="0036258A">
              <w:rPr>
                <w:rFonts w:eastAsia="Batang"/>
                <w:b/>
              </w:rPr>
              <w:t>Q1</w:t>
            </w:r>
            <w:r>
              <w:rPr>
                <w:rFonts w:eastAsia="Batang"/>
                <w:b/>
              </w:rPr>
              <w:t>2</w:t>
            </w:r>
            <w:r w:rsidRPr="0036258A">
              <w:rPr>
                <w:rFonts w:eastAsia="Batang"/>
                <w:b/>
              </w:rPr>
              <w:t xml:space="preserve"> Market Share (%)</w:t>
            </w:r>
          </w:p>
        </w:tc>
        <w:tc>
          <w:tcPr>
            <w:tcW w:w="1728" w:type="dxa"/>
            <w:tcBorders>
              <w:top w:val="single" w:sz="4" w:space="0" w:color="auto"/>
            </w:tcBorders>
            <w:vAlign w:val="bottom"/>
          </w:tcPr>
          <w:p w:rsidR="005C29E3" w:rsidRPr="0036258A" w:rsidRDefault="005C29E3" w:rsidP="00B412F2">
            <w:pPr>
              <w:jc w:val="right"/>
              <w:rPr>
                <w:rFonts w:eastAsia="Batang"/>
                <w:b/>
              </w:rPr>
            </w:pPr>
            <w:r>
              <w:rPr>
                <w:rFonts w:eastAsia="Batang"/>
                <w:b/>
              </w:rPr>
              <w:t>3</w:t>
            </w:r>
            <w:r w:rsidRPr="0036258A">
              <w:rPr>
                <w:rFonts w:eastAsia="Batang"/>
                <w:b/>
              </w:rPr>
              <w:t>Q</w:t>
            </w:r>
            <w:r>
              <w:rPr>
                <w:rFonts w:eastAsia="Batang"/>
                <w:b/>
              </w:rPr>
              <w:t>11</w:t>
            </w:r>
          </w:p>
          <w:p w:rsidR="005C29E3" w:rsidRPr="0036258A" w:rsidRDefault="005C29E3" w:rsidP="00B412F2">
            <w:pPr>
              <w:jc w:val="right"/>
              <w:rPr>
                <w:rFonts w:eastAsia="Batang"/>
                <w:b/>
              </w:rPr>
            </w:pPr>
            <w:r>
              <w:rPr>
                <w:rFonts w:eastAsia="Batang"/>
                <w:b/>
              </w:rPr>
              <w:t>Revenue</w:t>
            </w:r>
          </w:p>
        </w:tc>
        <w:tc>
          <w:tcPr>
            <w:tcW w:w="1440" w:type="dxa"/>
            <w:tcBorders>
              <w:top w:val="single" w:sz="4" w:space="0" w:color="auto"/>
            </w:tcBorders>
            <w:vAlign w:val="center"/>
          </w:tcPr>
          <w:p w:rsidR="005C29E3" w:rsidRPr="0036258A" w:rsidRDefault="005C29E3" w:rsidP="00B412F2">
            <w:pPr>
              <w:jc w:val="right"/>
              <w:rPr>
                <w:rFonts w:eastAsia="Batang"/>
                <w:b/>
              </w:rPr>
            </w:pPr>
            <w:r>
              <w:rPr>
                <w:rFonts w:eastAsia="Batang"/>
                <w:b/>
              </w:rPr>
              <w:t>3</w:t>
            </w:r>
            <w:r w:rsidRPr="0036258A">
              <w:rPr>
                <w:rFonts w:eastAsia="Batang"/>
                <w:b/>
              </w:rPr>
              <w:t>Q</w:t>
            </w:r>
            <w:r>
              <w:rPr>
                <w:rFonts w:eastAsia="Batang"/>
                <w:b/>
              </w:rPr>
              <w:t>11</w:t>
            </w:r>
            <w:r w:rsidRPr="0036258A">
              <w:rPr>
                <w:rFonts w:eastAsia="Batang"/>
                <w:b/>
              </w:rPr>
              <w:t xml:space="preserve"> Market Share (%)</w:t>
            </w:r>
          </w:p>
        </w:tc>
        <w:tc>
          <w:tcPr>
            <w:tcW w:w="1584" w:type="dxa"/>
            <w:tcBorders>
              <w:top w:val="single" w:sz="4" w:space="0" w:color="auto"/>
            </w:tcBorders>
            <w:vAlign w:val="center"/>
          </w:tcPr>
          <w:p w:rsidR="005C29E3" w:rsidRPr="0036258A" w:rsidRDefault="005C29E3" w:rsidP="005C29E3">
            <w:pPr>
              <w:jc w:val="right"/>
              <w:rPr>
                <w:rFonts w:eastAsia="Batang"/>
                <w:b/>
              </w:rPr>
            </w:pPr>
            <w:r>
              <w:rPr>
                <w:rFonts w:eastAsia="Batang"/>
                <w:b/>
              </w:rPr>
              <w:t>3</w:t>
            </w:r>
            <w:r w:rsidRPr="0036258A">
              <w:rPr>
                <w:rFonts w:eastAsia="Batang"/>
                <w:b/>
              </w:rPr>
              <w:t>Q</w:t>
            </w:r>
            <w:r>
              <w:rPr>
                <w:rFonts w:eastAsia="Batang"/>
                <w:b/>
              </w:rPr>
              <w:t>12</w:t>
            </w:r>
            <w:r w:rsidRPr="0036258A">
              <w:rPr>
                <w:rFonts w:eastAsia="Batang"/>
                <w:b/>
              </w:rPr>
              <w:t>-</w:t>
            </w:r>
            <w:r>
              <w:rPr>
                <w:rFonts w:eastAsia="Batang"/>
                <w:b/>
              </w:rPr>
              <w:t>3</w:t>
            </w:r>
            <w:r w:rsidRPr="0036258A">
              <w:rPr>
                <w:rFonts w:eastAsia="Batang"/>
                <w:b/>
              </w:rPr>
              <w:t>Q1</w:t>
            </w:r>
            <w:r>
              <w:rPr>
                <w:rFonts w:eastAsia="Batang"/>
                <w:b/>
              </w:rPr>
              <w:t>1</w:t>
            </w:r>
            <w:r w:rsidRPr="0036258A">
              <w:rPr>
                <w:rFonts w:eastAsia="Batang"/>
                <w:b/>
              </w:rPr>
              <w:t xml:space="preserve"> Growth (%)</w:t>
            </w:r>
          </w:p>
        </w:tc>
      </w:tr>
      <w:tr w:rsidR="00C941DB" w:rsidRPr="0036258A" w:rsidTr="00B412F2">
        <w:trPr>
          <w:trHeight w:val="225"/>
        </w:trPr>
        <w:tc>
          <w:tcPr>
            <w:tcW w:w="1872" w:type="dxa"/>
            <w:tcBorders>
              <w:top w:val="single" w:sz="4" w:space="0" w:color="auto"/>
            </w:tcBorders>
            <w:vAlign w:val="bottom"/>
          </w:tcPr>
          <w:p w:rsidR="00C941DB" w:rsidRDefault="00C941DB">
            <w:pPr>
              <w:rPr>
                <w:rFonts w:cs="Arial"/>
              </w:rPr>
            </w:pPr>
            <w:r>
              <w:rPr>
                <w:rFonts w:cs="Arial"/>
              </w:rPr>
              <w:t>HP</w:t>
            </w:r>
          </w:p>
        </w:tc>
        <w:tc>
          <w:tcPr>
            <w:tcW w:w="1728" w:type="dxa"/>
            <w:tcBorders>
              <w:top w:val="single" w:sz="4" w:space="0" w:color="auto"/>
            </w:tcBorders>
            <w:vAlign w:val="bottom"/>
          </w:tcPr>
          <w:p w:rsidR="00C941DB" w:rsidRDefault="00C941DB">
            <w:pPr>
              <w:jc w:val="right"/>
              <w:rPr>
                <w:rFonts w:cs="Arial"/>
              </w:rPr>
            </w:pPr>
            <w:r>
              <w:rPr>
                <w:rFonts w:cs="Arial"/>
              </w:rPr>
              <w:t>1,083,893,433</w:t>
            </w:r>
          </w:p>
        </w:tc>
        <w:tc>
          <w:tcPr>
            <w:tcW w:w="1440" w:type="dxa"/>
            <w:tcBorders>
              <w:top w:val="single" w:sz="4" w:space="0" w:color="auto"/>
            </w:tcBorders>
            <w:vAlign w:val="bottom"/>
          </w:tcPr>
          <w:p w:rsidR="00C941DB" w:rsidRDefault="00C941DB">
            <w:pPr>
              <w:jc w:val="right"/>
              <w:rPr>
                <w:rFonts w:cs="Arial"/>
              </w:rPr>
            </w:pPr>
            <w:r>
              <w:rPr>
                <w:rFonts w:cs="Arial"/>
              </w:rPr>
              <w:t>36.6</w:t>
            </w:r>
          </w:p>
        </w:tc>
        <w:tc>
          <w:tcPr>
            <w:tcW w:w="1728" w:type="dxa"/>
            <w:tcBorders>
              <w:top w:val="single" w:sz="4" w:space="0" w:color="auto"/>
            </w:tcBorders>
            <w:vAlign w:val="bottom"/>
          </w:tcPr>
          <w:p w:rsidR="00C941DB" w:rsidRDefault="00C941DB">
            <w:pPr>
              <w:jc w:val="right"/>
              <w:rPr>
                <w:rFonts w:cs="Arial"/>
              </w:rPr>
            </w:pPr>
            <w:r>
              <w:rPr>
                <w:rFonts w:cs="Arial"/>
              </w:rPr>
              <w:t>1,301,580,579</w:t>
            </w:r>
          </w:p>
        </w:tc>
        <w:tc>
          <w:tcPr>
            <w:tcW w:w="1440" w:type="dxa"/>
            <w:tcBorders>
              <w:top w:val="single" w:sz="4" w:space="0" w:color="auto"/>
            </w:tcBorders>
            <w:vAlign w:val="bottom"/>
          </w:tcPr>
          <w:p w:rsidR="00C941DB" w:rsidRDefault="00C941DB">
            <w:pPr>
              <w:jc w:val="right"/>
              <w:rPr>
                <w:rFonts w:cs="Arial"/>
              </w:rPr>
            </w:pPr>
            <w:r>
              <w:rPr>
                <w:rFonts w:cs="Arial"/>
              </w:rPr>
              <w:t>40.0</w:t>
            </w:r>
          </w:p>
        </w:tc>
        <w:tc>
          <w:tcPr>
            <w:tcW w:w="1584" w:type="dxa"/>
            <w:tcBorders>
              <w:top w:val="single" w:sz="4" w:space="0" w:color="auto"/>
            </w:tcBorders>
            <w:vAlign w:val="bottom"/>
          </w:tcPr>
          <w:p w:rsidR="00C941DB" w:rsidRDefault="00C941DB">
            <w:pPr>
              <w:jc w:val="right"/>
              <w:rPr>
                <w:rFonts w:cs="Arial"/>
              </w:rPr>
            </w:pPr>
            <w:r>
              <w:rPr>
                <w:rFonts w:cs="Arial"/>
              </w:rPr>
              <w:t>-16.7</w:t>
            </w:r>
          </w:p>
        </w:tc>
      </w:tr>
      <w:tr w:rsidR="00C941DB" w:rsidRPr="0036258A" w:rsidTr="00B412F2">
        <w:trPr>
          <w:trHeight w:val="225"/>
        </w:trPr>
        <w:tc>
          <w:tcPr>
            <w:tcW w:w="1872" w:type="dxa"/>
            <w:vAlign w:val="bottom"/>
          </w:tcPr>
          <w:p w:rsidR="00C941DB" w:rsidRDefault="00C941DB">
            <w:pPr>
              <w:rPr>
                <w:rFonts w:cs="Arial"/>
              </w:rPr>
            </w:pPr>
            <w:r>
              <w:rPr>
                <w:rFonts w:cs="Arial"/>
              </w:rPr>
              <w:t>IBM</w:t>
            </w:r>
          </w:p>
        </w:tc>
        <w:tc>
          <w:tcPr>
            <w:tcW w:w="1728" w:type="dxa"/>
            <w:vAlign w:val="bottom"/>
          </w:tcPr>
          <w:p w:rsidR="00C941DB" w:rsidRDefault="00C941DB">
            <w:pPr>
              <w:jc w:val="right"/>
              <w:rPr>
                <w:rFonts w:cs="Arial"/>
              </w:rPr>
            </w:pPr>
            <w:r>
              <w:rPr>
                <w:rFonts w:cs="Arial"/>
              </w:rPr>
              <w:t>697,969,730</w:t>
            </w:r>
          </w:p>
        </w:tc>
        <w:tc>
          <w:tcPr>
            <w:tcW w:w="1440" w:type="dxa"/>
            <w:vAlign w:val="bottom"/>
          </w:tcPr>
          <w:p w:rsidR="00C941DB" w:rsidRDefault="00C941DB">
            <w:pPr>
              <w:jc w:val="right"/>
              <w:rPr>
                <w:rFonts w:cs="Arial"/>
              </w:rPr>
            </w:pPr>
            <w:r>
              <w:rPr>
                <w:rFonts w:cs="Arial"/>
              </w:rPr>
              <w:t>23.6</w:t>
            </w:r>
          </w:p>
        </w:tc>
        <w:tc>
          <w:tcPr>
            <w:tcW w:w="1728" w:type="dxa"/>
            <w:vAlign w:val="bottom"/>
          </w:tcPr>
          <w:p w:rsidR="00C941DB" w:rsidRDefault="00C941DB">
            <w:pPr>
              <w:jc w:val="right"/>
              <w:rPr>
                <w:rFonts w:cs="Arial"/>
              </w:rPr>
            </w:pPr>
            <w:r>
              <w:rPr>
                <w:rFonts w:cs="Arial"/>
              </w:rPr>
              <w:t>756,439,235</w:t>
            </w:r>
          </w:p>
        </w:tc>
        <w:tc>
          <w:tcPr>
            <w:tcW w:w="1440" w:type="dxa"/>
            <w:vAlign w:val="bottom"/>
          </w:tcPr>
          <w:p w:rsidR="00C941DB" w:rsidRDefault="00C941DB">
            <w:pPr>
              <w:jc w:val="right"/>
              <w:rPr>
                <w:rFonts w:cs="Arial"/>
              </w:rPr>
            </w:pPr>
            <w:r>
              <w:rPr>
                <w:rFonts w:cs="Arial"/>
              </w:rPr>
              <w:t>23.3</w:t>
            </w:r>
          </w:p>
        </w:tc>
        <w:tc>
          <w:tcPr>
            <w:tcW w:w="1584" w:type="dxa"/>
            <w:vAlign w:val="bottom"/>
          </w:tcPr>
          <w:p w:rsidR="00C941DB" w:rsidRDefault="00C941DB">
            <w:pPr>
              <w:jc w:val="right"/>
              <w:rPr>
                <w:rFonts w:cs="Arial"/>
              </w:rPr>
            </w:pPr>
            <w:r>
              <w:rPr>
                <w:rFonts w:cs="Arial"/>
              </w:rPr>
              <w:t>-7.7</w:t>
            </w:r>
          </w:p>
        </w:tc>
      </w:tr>
      <w:tr w:rsidR="00C941DB" w:rsidRPr="0036258A" w:rsidTr="00B412F2">
        <w:trPr>
          <w:trHeight w:val="225"/>
        </w:trPr>
        <w:tc>
          <w:tcPr>
            <w:tcW w:w="1872" w:type="dxa"/>
            <w:vAlign w:val="bottom"/>
          </w:tcPr>
          <w:p w:rsidR="00C941DB" w:rsidRDefault="00C941DB">
            <w:pPr>
              <w:rPr>
                <w:rFonts w:cs="Arial"/>
              </w:rPr>
            </w:pPr>
            <w:r>
              <w:rPr>
                <w:rFonts w:cs="Arial"/>
              </w:rPr>
              <w:t>Dell</w:t>
            </w:r>
          </w:p>
        </w:tc>
        <w:tc>
          <w:tcPr>
            <w:tcW w:w="1728" w:type="dxa"/>
            <w:vAlign w:val="bottom"/>
          </w:tcPr>
          <w:p w:rsidR="00C941DB" w:rsidRDefault="00C941DB">
            <w:pPr>
              <w:jc w:val="right"/>
              <w:rPr>
                <w:rFonts w:cs="Arial"/>
              </w:rPr>
            </w:pPr>
            <w:r>
              <w:rPr>
                <w:rFonts w:cs="Arial"/>
              </w:rPr>
              <w:t>454,751,400</w:t>
            </w:r>
          </w:p>
        </w:tc>
        <w:tc>
          <w:tcPr>
            <w:tcW w:w="1440" w:type="dxa"/>
            <w:vAlign w:val="bottom"/>
          </w:tcPr>
          <w:p w:rsidR="00C941DB" w:rsidRDefault="00C941DB">
            <w:pPr>
              <w:jc w:val="right"/>
              <w:rPr>
                <w:rFonts w:cs="Arial"/>
              </w:rPr>
            </w:pPr>
            <w:r>
              <w:rPr>
                <w:rFonts w:cs="Arial"/>
              </w:rPr>
              <w:t>15.4</w:t>
            </w:r>
          </w:p>
        </w:tc>
        <w:tc>
          <w:tcPr>
            <w:tcW w:w="1728" w:type="dxa"/>
            <w:vAlign w:val="bottom"/>
          </w:tcPr>
          <w:p w:rsidR="00C941DB" w:rsidRDefault="00C941DB">
            <w:pPr>
              <w:jc w:val="right"/>
              <w:rPr>
                <w:rFonts w:cs="Arial"/>
              </w:rPr>
            </w:pPr>
            <w:r>
              <w:rPr>
                <w:rFonts w:cs="Arial"/>
              </w:rPr>
              <w:t>414,500,382</w:t>
            </w:r>
          </w:p>
        </w:tc>
        <w:tc>
          <w:tcPr>
            <w:tcW w:w="1440" w:type="dxa"/>
            <w:vAlign w:val="bottom"/>
          </w:tcPr>
          <w:p w:rsidR="00C941DB" w:rsidRDefault="00C941DB">
            <w:pPr>
              <w:jc w:val="right"/>
              <w:rPr>
                <w:rFonts w:cs="Arial"/>
              </w:rPr>
            </w:pPr>
            <w:r>
              <w:rPr>
                <w:rFonts w:cs="Arial"/>
              </w:rPr>
              <w:t>12.7</w:t>
            </w:r>
          </w:p>
        </w:tc>
        <w:tc>
          <w:tcPr>
            <w:tcW w:w="1584" w:type="dxa"/>
            <w:vAlign w:val="bottom"/>
          </w:tcPr>
          <w:p w:rsidR="00C941DB" w:rsidRDefault="00C941DB">
            <w:pPr>
              <w:jc w:val="right"/>
              <w:rPr>
                <w:rFonts w:cs="Arial"/>
              </w:rPr>
            </w:pPr>
            <w:r>
              <w:rPr>
                <w:rFonts w:cs="Arial"/>
              </w:rPr>
              <w:t>9.7</w:t>
            </w:r>
          </w:p>
        </w:tc>
      </w:tr>
      <w:tr w:rsidR="00B80B07" w:rsidRPr="0036258A" w:rsidTr="00D82843">
        <w:trPr>
          <w:trHeight w:val="225"/>
        </w:trPr>
        <w:tc>
          <w:tcPr>
            <w:tcW w:w="1872" w:type="dxa"/>
            <w:vAlign w:val="bottom"/>
          </w:tcPr>
          <w:p w:rsidR="00B80B07" w:rsidRDefault="00B80B07" w:rsidP="00D82843">
            <w:pPr>
              <w:rPr>
                <w:rFonts w:cs="Arial"/>
              </w:rPr>
            </w:pPr>
            <w:r>
              <w:rPr>
                <w:rFonts w:cs="Arial"/>
              </w:rPr>
              <w:t>Fujitsu</w:t>
            </w:r>
          </w:p>
        </w:tc>
        <w:tc>
          <w:tcPr>
            <w:tcW w:w="1728" w:type="dxa"/>
            <w:vAlign w:val="bottom"/>
          </w:tcPr>
          <w:p w:rsidR="00B80B07" w:rsidRDefault="00B80B07" w:rsidP="00D82843">
            <w:pPr>
              <w:jc w:val="right"/>
              <w:rPr>
                <w:rFonts w:cs="Arial"/>
              </w:rPr>
            </w:pPr>
            <w:r>
              <w:rPr>
                <w:rFonts w:cs="Arial"/>
              </w:rPr>
              <w:t>192,858,138</w:t>
            </w:r>
          </w:p>
        </w:tc>
        <w:tc>
          <w:tcPr>
            <w:tcW w:w="1440" w:type="dxa"/>
            <w:vAlign w:val="bottom"/>
          </w:tcPr>
          <w:p w:rsidR="00B80B07" w:rsidRDefault="00B80B07" w:rsidP="00D82843">
            <w:pPr>
              <w:jc w:val="right"/>
              <w:rPr>
                <w:rFonts w:cs="Arial"/>
              </w:rPr>
            </w:pPr>
            <w:r>
              <w:rPr>
                <w:rFonts w:cs="Arial"/>
              </w:rPr>
              <w:t>6.5</w:t>
            </w:r>
          </w:p>
        </w:tc>
        <w:tc>
          <w:tcPr>
            <w:tcW w:w="1728" w:type="dxa"/>
            <w:vAlign w:val="bottom"/>
          </w:tcPr>
          <w:p w:rsidR="00B80B07" w:rsidRDefault="00B80B07" w:rsidP="00D82843">
            <w:pPr>
              <w:jc w:val="right"/>
              <w:rPr>
                <w:rFonts w:cs="Arial"/>
              </w:rPr>
            </w:pPr>
            <w:r>
              <w:rPr>
                <w:rFonts w:cs="Arial"/>
              </w:rPr>
              <w:t>204,955,661</w:t>
            </w:r>
          </w:p>
        </w:tc>
        <w:tc>
          <w:tcPr>
            <w:tcW w:w="1440" w:type="dxa"/>
            <w:vAlign w:val="bottom"/>
          </w:tcPr>
          <w:p w:rsidR="00B80B07" w:rsidRDefault="00B80B07" w:rsidP="00D82843">
            <w:pPr>
              <w:jc w:val="right"/>
              <w:rPr>
                <w:rFonts w:cs="Arial"/>
              </w:rPr>
            </w:pPr>
            <w:r>
              <w:rPr>
                <w:rFonts w:cs="Arial"/>
              </w:rPr>
              <w:t>6.3</w:t>
            </w:r>
          </w:p>
        </w:tc>
        <w:tc>
          <w:tcPr>
            <w:tcW w:w="1584" w:type="dxa"/>
            <w:vAlign w:val="bottom"/>
          </w:tcPr>
          <w:p w:rsidR="00B80B07" w:rsidRDefault="00B80B07" w:rsidP="00D82843">
            <w:pPr>
              <w:jc w:val="right"/>
              <w:rPr>
                <w:rFonts w:cs="Arial"/>
              </w:rPr>
            </w:pPr>
            <w:r>
              <w:rPr>
                <w:rFonts w:cs="Arial"/>
              </w:rPr>
              <w:t>-5.9</w:t>
            </w:r>
          </w:p>
        </w:tc>
      </w:tr>
      <w:tr w:rsidR="00C941DB" w:rsidRPr="0036258A" w:rsidTr="00B412F2">
        <w:trPr>
          <w:trHeight w:val="225"/>
        </w:trPr>
        <w:tc>
          <w:tcPr>
            <w:tcW w:w="1872" w:type="dxa"/>
            <w:vAlign w:val="bottom"/>
          </w:tcPr>
          <w:p w:rsidR="00C941DB" w:rsidRDefault="00C941DB">
            <w:pPr>
              <w:rPr>
                <w:rFonts w:cs="Arial"/>
              </w:rPr>
            </w:pPr>
            <w:r>
              <w:rPr>
                <w:rFonts w:cs="Arial"/>
              </w:rPr>
              <w:t>Oracle</w:t>
            </w:r>
          </w:p>
        </w:tc>
        <w:tc>
          <w:tcPr>
            <w:tcW w:w="1728" w:type="dxa"/>
            <w:vAlign w:val="bottom"/>
          </w:tcPr>
          <w:p w:rsidR="00C941DB" w:rsidRDefault="00C941DB">
            <w:pPr>
              <w:jc w:val="right"/>
              <w:rPr>
                <w:rFonts w:cs="Arial"/>
              </w:rPr>
            </w:pPr>
            <w:r>
              <w:rPr>
                <w:rFonts w:cs="Arial"/>
              </w:rPr>
              <w:t>171,691,600</w:t>
            </w:r>
          </w:p>
        </w:tc>
        <w:tc>
          <w:tcPr>
            <w:tcW w:w="1440" w:type="dxa"/>
            <w:vAlign w:val="bottom"/>
          </w:tcPr>
          <w:p w:rsidR="00C941DB" w:rsidRDefault="00C941DB">
            <w:pPr>
              <w:jc w:val="right"/>
              <w:rPr>
                <w:rFonts w:cs="Arial"/>
              </w:rPr>
            </w:pPr>
            <w:r>
              <w:rPr>
                <w:rFonts w:cs="Arial"/>
              </w:rPr>
              <w:t>5.8</w:t>
            </w:r>
          </w:p>
        </w:tc>
        <w:tc>
          <w:tcPr>
            <w:tcW w:w="1728" w:type="dxa"/>
            <w:vAlign w:val="bottom"/>
          </w:tcPr>
          <w:p w:rsidR="00C941DB" w:rsidRDefault="00C941DB">
            <w:pPr>
              <w:jc w:val="right"/>
              <w:rPr>
                <w:rFonts w:cs="Arial"/>
              </w:rPr>
            </w:pPr>
            <w:r>
              <w:rPr>
                <w:rFonts w:cs="Arial"/>
              </w:rPr>
              <w:t>242,828,070</w:t>
            </w:r>
          </w:p>
        </w:tc>
        <w:tc>
          <w:tcPr>
            <w:tcW w:w="1440" w:type="dxa"/>
            <w:vAlign w:val="bottom"/>
          </w:tcPr>
          <w:p w:rsidR="00C941DB" w:rsidRDefault="00C941DB">
            <w:pPr>
              <w:jc w:val="right"/>
              <w:rPr>
                <w:rFonts w:cs="Arial"/>
              </w:rPr>
            </w:pPr>
            <w:r>
              <w:rPr>
                <w:rFonts w:cs="Arial"/>
              </w:rPr>
              <w:t>7.5</w:t>
            </w:r>
          </w:p>
        </w:tc>
        <w:tc>
          <w:tcPr>
            <w:tcW w:w="1584" w:type="dxa"/>
            <w:vAlign w:val="bottom"/>
          </w:tcPr>
          <w:p w:rsidR="00C941DB" w:rsidRDefault="00C941DB">
            <w:pPr>
              <w:jc w:val="right"/>
              <w:rPr>
                <w:rFonts w:cs="Arial"/>
              </w:rPr>
            </w:pPr>
            <w:r>
              <w:rPr>
                <w:rFonts w:cs="Arial"/>
              </w:rPr>
              <w:t>-29.3</w:t>
            </w:r>
          </w:p>
        </w:tc>
      </w:tr>
      <w:tr w:rsidR="00C941DB" w:rsidRPr="0036258A" w:rsidTr="00B412F2">
        <w:trPr>
          <w:trHeight w:val="240"/>
        </w:trPr>
        <w:tc>
          <w:tcPr>
            <w:tcW w:w="1872" w:type="dxa"/>
            <w:vAlign w:val="bottom"/>
          </w:tcPr>
          <w:p w:rsidR="00C941DB" w:rsidRPr="003C3B5B" w:rsidRDefault="00C941DB" w:rsidP="00B412F2">
            <w:pPr>
              <w:rPr>
                <w:rFonts w:cs="Arial"/>
                <w:color w:val="000000"/>
              </w:rPr>
            </w:pPr>
            <w:r w:rsidRPr="003C3B5B">
              <w:rPr>
                <w:rFonts w:cs="Arial"/>
                <w:color w:val="000000"/>
              </w:rPr>
              <w:t>Other Vendors</w:t>
            </w:r>
          </w:p>
        </w:tc>
        <w:tc>
          <w:tcPr>
            <w:tcW w:w="1728" w:type="dxa"/>
            <w:vAlign w:val="bottom"/>
          </w:tcPr>
          <w:p w:rsidR="00C941DB" w:rsidRDefault="00C941DB" w:rsidP="00C941DB">
            <w:pPr>
              <w:jc w:val="right"/>
              <w:rPr>
                <w:rFonts w:cs="Arial"/>
              </w:rPr>
            </w:pPr>
            <w:r>
              <w:rPr>
                <w:rFonts w:cs="Arial"/>
              </w:rPr>
              <w:t>359,313,506</w:t>
            </w:r>
          </w:p>
        </w:tc>
        <w:tc>
          <w:tcPr>
            <w:tcW w:w="1440" w:type="dxa"/>
            <w:vAlign w:val="bottom"/>
          </w:tcPr>
          <w:p w:rsidR="00C941DB" w:rsidRDefault="00C941DB" w:rsidP="00C941DB">
            <w:pPr>
              <w:jc w:val="right"/>
              <w:rPr>
                <w:rFonts w:cs="Arial"/>
              </w:rPr>
            </w:pPr>
            <w:r>
              <w:rPr>
                <w:rFonts w:cs="Arial"/>
              </w:rPr>
              <w:t>12.1</w:t>
            </w:r>
          </w:p>
        </w:tc>
        <w:tc>
          <w:tcPr>
            <w:tcW w:w="1728" w:type="dxa"/>
            <w:vAlign w:val="bottom"/>
          </w:tcPr>
          <w:p w:rsidR="00C941DB" w:rsidRDefault="00C941DB" w:rsidP="00C941DB">
            <w:pPr>
              <w:jc w:val="right"/>
              <w:rPr>
                <w:rFonts w:cs="Arial"/>
              </w:rPr>
            </w:pPr>
            <w:r>
              <w:rPr>
                <w:rFonts w:cs="Arial"/>
              </w:rPr>
              <w:t>331,419,006</w:t>
            </w:r>
          </w:p>
        </w:tc>
        <w:tc>
          <w:tcPr>
            <w:tcW w:w="1440" w:type="dxa"/>
            <w:vAlign w:val="bottom"/>
          </w:tcPr>
          <w:p w:rsidR="00C941DB" w:rsidRDefault="00C941DB" w:rsidP="00C941DB">
            <w:pPr>
              <w:jc w:val="right"/>
              <w:rPr>
                <w:rFonts w:cs="Arial"/>
              </w:rPr>
            </w:pPr>
            <w:r>
              <w:rPr>
                <w:rFonts w:cs="Arial"/>
              </w:rPr>
              <w:t>10.2</w:t>
            </w:r>
          </w:p>
        </w:tc>
        <w:tc>
          <w:tcPr>
            <w:tcW w:w="1584" w:type="dxa"/>
            <w:vAlign w:val="bottom"/>
          </w:tcPr>
          <w:p w:rsidR="00C941DB" w:rsidRDefault="00C941DB" w:rsidP="00C941DB">
            <w:pPr>
              <w:jc w:val="right"/>
              <w:rPr>
                <w:rFonts w:cs="Arial"/>
              </w:rPr>
            </w:pPr>
            <w:r>
              <w:rPr>
                <w:rFonts w:cs="Arial"/>
              </w:rPr>
              <w:t>8.4</w:t>
            </w:r>
          </w:p>
        </w:tc>
      </w:tr>
      <w:tr w:rsidR="005C29E3" w:rsidRPr="00DF67F6" w:rsidTr="00B412F2">
        <w:trPr>
          <w:trHeight w:val="225"/>
        </w:trPr>
        <w:tc>
          <w:tcPr>
            <w:tcW w:w="1872" w:type="dxa"/>
            <w:vAlign w:val="bottom"/>
          </w:tcPr>
          <w:p w:rsidR="005C29E3" w:rsidRPr="003C3B5B" w:rsidRDefault="005C29E3" w:rsidP="00B412F2">
            <w:pPr>
              <w:rPr>
                <w:rFonts w:cs="Arial"/>
                <w:b/>
                <w:bCs/>
                <w:color w:val="000000"/>
              </w:rPr>
            </w:pPr>
            <w:r w:rsidRPr="003C3B5B">
              <w:rPr>
                <w:rFonts w:cs="Arial"/>
                <w:b/>
                <w:bCs/>
                <w:color w:val="000000"/>
              </w:rPr>
              <w:t>Total</w:t>
            </w:r>
          </w:p>
        </w:tc>
        <w:tc>
          <w:tcPr>
            <w:tcW w:w="1728" w:type="dxa"/>
            <w:vAlign w:val="bottom"/>
          </w:tcPr>
          <w:p w:rsidR="005C29E3" w:rsidRPr="00C941DB" w:rsidRDefault="00C941DB" w:rsidP="00C941DB">
            <w:pPr>
              <w:jc w:val="right"/>
              <w:rPr>
                <w:rFonts w:cs="Arial"/>
                <w:b/>
                <w:color w:val="000000"/>
              </w:rPr>
            </w:pPr>
            <w:r w:rsidRPr="00C941DB">
              <w:rPr>
                <w:rFonts w:cs="Arial"/>
                <w:b/>
              </w:rPr>
              <w:t>2,960,477,807</w:t>
            </w:r>
          </w:p>
        </w:tc>
        <w:tc>
          <w:tcPr>
            <w:tcW w:w="1440" w:type="dxa"/>
            <w:vAlign w:val="bottom"/>
          </w:tcPr>
          <w:p w:rsidR="005C29E3" w:rsidRPr="003C3B5B" w:rsidRDefault="00C941DB" w:rsidP="00B412F2">
            <w:pPr>
              <w:jc w:val="right"/>
              <w:rPr>
                <w:rFonts w:cs="Arial"/>
                <w:b/>
                <w:bCs/>
                <w:color w:val="000000"/>
              </w:rPr>
            </w:pPr>
            <w:r>
              <w:rPr>
                <w:rFonts w:cs="Arial"/>
                <w:b/>
                <w:bCs/>
                <w:color w:val="000000"/>
              </w:rPr>
              <w:t>100.0</w:t>
            </w:r>
          </w:p>
        </w:tc>
        <w:tc>
          <w:tcPr>
            <w:tcW w:w="1728" w:type="dxa"/>
            <w:vAlign w:val="bottom"/>
          </w:tcPr>
          <w:p w:rsidR="005C29E3" w:rsidRPr="00350BEB" w:rsidRDefault="00C941DB" w:rsidP="00C941DB">
            <w:pPr>
              <w:jc w:val="right"/>
              <w:rPr>
                <w:rFonts w:cs="Arial"/>
                <w:b/>
                <w:color w:val="000000"/>
              </w:rPr>
            </w:pPr>
            <w:r w:rsidRPr="00350BEB">
              <w:rPr>
                <w:rFonts w:cs="Arial"/>
                <w:b/>
              </w:rPr>
              <w:t>3,251,722,932</w:t>
            </w:r>
          </w:p>
        </w:tc>
        <w:tc>
          <w:tcPr>
            <w:tcW w:w="1440" w:type="dxa"/>
            <w:vAlign w:val="bottom"/>
          </w:tcPr>
          <w:p w:rsidR="005C29E3" w:rsidRPr="003C3B5B" w:rsidRDefault="00C941DB" w:rsidP="00B412F2">
            <w:pPr>
              <w:jc w:val="right"/>
              <w:rPr>
                <w:rFonts w:cs="Arial"/>
                <w:b/>
                <w:bCs/>
                <w:color w:val="000000"/>
              </w:rPr>
            </w:pPr>
            <w:r>
              <w:rPr>
                <w:rFonts w:cs="Arial"/>
                <w:b/>
                <w:bCs/>
                <w:color w:val="000000"/>
              </w:rPr>
              <w:t>100.0</w:t>
            </w:r>
          </w:p>
        </w:tc>
        <w:tc>
          <w:tcPr>
            <w:tcW w:w="1584" w:type="dxa"/>
            <w:vAlign w:val="bottom"/>
          </w:tcPr>
          <w:p w:rsidR="005C29E3" w:rsidRPr="003C3B5B" w:rsidRDefault="00C941DB" w:rsidP="00B412F2">
            <w:pPr>
              <w:jc w:val="right"/>
              <w:rPr>
                <w:rFonts w:cs="Arial"/>
                <w:b/>
                <w:bCs/>
                <w:color w:val="000000"/>
              </w:rPr>
            </w:pPr>
            <w:r>
              <w:rPr>
                <w:rFonts w:cs="Arial"/>
                <w:b/>
                <w:bCs/>
                <w:color w:val="000000"/>
              </w:rPr>
              <w:t>-9.0</w:t>
            </w:r>
          </w:p>
        </w:tc>
      </w:tr>
    </w:tbl>
    <w:p w:rsidR="005C29E3" w:rsidRPr="00680494" w:rsidRDefault="005C29E3" w:rsidP="005C29E3">
      <w:pPr>
        <w:pStyle w:val="contact"/>
        <w:rPr>
          <w:rFonts w:ascii="Arial" w:hAnsi="Arial"/>
          <w:sz w:val="18"/>
          <w:szCs w:val="18"/>
        </w:rPr>
      </w:pPr>
      <w:r w:rsidRPr="00680494">
        <w:rPr>
          <w:rFonts w:ascii="Arial" w:hAnsi="Arial"/>
          <w:sz w:val="18"/>
          <w:szCs w:val="18"/>
        </w:rPr>
        <w:t>Source: Gartner (</w:t>
      </w:r>
      <w:r>
        <w:rPr>
          <w:rFonts w:ascii="Arial" w:hAnsi="Arial"/>
          <w:sz w:val="18"/>
          <w:szCs w:val="18"/>
        </w:rPr>
        <w:t>November</w:t>
      </w:r>
      <w:r w:rsidRPr="00680494">
        <w:rPr>
          <w:rFonts w:ascii="Arial" w:hAnsi="Arial"/>
          <w:sz w:val="18"/>
          <w:szCs w:val="18"/>
        </w:rPr>
        <w:t xml:space="preserve"> 2012)</w:t>
      </w:r>
    </w:p>
    <w:p w:rsidR="005C29E3" w:rsidRDefault="005C29E3" w:rsidP="005C29E3">
      <w:pPr>
        <w:pStyle w:val="BodyText"/>
        <w:widowControl/>
        <w:spacing w:after="0" w:line="240" w:lineRule="auto"/>
        <w:rPr>
          <w:szCs w:val="22"/>
        </w:rPr>
      </w:pPr>
    </w:p>
    <w:p w:rsidR="005C29E3" w:rsidRPr="0036258A" w:rsidRDefault="005C29E3" w:rsidP="005C29E3">
      <w:pPr>
        <w:jc w:val="left"/>
        <w:rPr>
          <w:b/>
          <w:sz w:val="22"/>
        </w:rPr>
      </w:pPr>
      <w:r w:rsidRPr="0036258A">
        <w:rPr>
          <w:b/>
          <w:sz w:val="22"/>
        </w:rPr>
        <w:t xml:space="preserve">Table </w:t>
      </w:r>
      <w:r>
        <w:rPr>
          <w:b/>
          <w:sz w:val="22"/>
        </w:rPr>
        <w:t>4</w:t>
      </w:r>
      <w:r w:rsidRPr="0036258A">
        <w:rPr>
          <w:b/>
          <w:sz w:val="22"/>
        </w:rPr>
        <w:br/>
      </w:r>
      <w:r>
        <w:rPr>
          <w:b/>
          <w:sz w:val="22"/>
        </w:rPr>
        <w:t>EMEA</w:t>
      </w:r>
      <w:r w:rsidRPr="0036258A">
        <w:rPr>
          <w:b/>
          <w:sz w:val="22"/>
        </w:rPr>
        <w:t xml:space="preserve">: Server Vendor </w:t>
      </w:r>
      <w:r>
        <w:rPr>
          <w:b/>
          <w:sz w:val="22"/>
        </w:rPr>
        <w:t>Shipment</w:t>
      </w:r>
      <w:r w:rsidRPr="0036258A">
        <w:rPr>
          <w:b/>
          <w:sz w:val="22"/>
        </w:rPr>
        <w:t xml:space="preserve"> Estimat</w:t>
      </w:r>
      <w:r>
        <w:rPr>
          <w:b/>
          <w:sz w:val="22"/>
        </w:rPr>
        <w:t>es, 3</w:t>
      </w:r>
      <w:r w:rsidRPr="0036258A">
        <w:rPr>
          <w:b/>
          <w:sz w:val="22"/>
        </w:rPr>
        <w:t>Q1</w:t>
      </w:r>
      <w:r>
        <w:rPr>
          <w:b/>
          <w:sz w:val="22"/>
        </w:rPr>
        <w:t>2 (Units</w:t>
      </w:r>
      <w:r w:rsidRPr="0036258A">
        <w:rPr>
          <w:b/>
          <w:sz w:val="22"/>
        </w:rPr>
        <w:t>)</w:t>
      </w:r>
    </w:p>
    <w:tbl>
      <w:tblPr>
        <w:tblW w:w="0" w:type="auto"/>
        <w:tblInd w:w="95" w:type="dxa"/>
        <w:tblBorders>
          <w:top w:val="single" w:sz="4" w:space="0" w:color="auto"/>
          <w:left w:val="single" w:sz="4" w:space="0" w:color="auto"/>
          <w:bottom w:val="single" w:sz="4" w:space="0" w:color="auto"/>
          <w:right w:val="single" w:sz="4" w:space="0" w:color="auto"/>
        </w:tblBorders>
        <w:tblLayout w:type="fixed"/>
        <w:tblLook w:val="0000"/>
      </w:tblPr>
      <w:tblGrid>
        <w:gridCol w:w="1872"/>
        <w:gridCol w:w="1728"/>
        <w:gridCol w:w="1440"/>
        <w:gridCol w:w="1728"/>
        <w:gridCol w:w="1440"/>
        <w:gridCol w:w="1584"/>
      </w:tblGrid>
      <w:tr w:rsidR="005C29E3" w:rsidRPr="0036258A" w:rsidTr="00B412F2">
        <w:trPr>
          <w:trHeight w:val="225"/>
        </w:trPr>
        <w:tc>
          <w:tcPr>
            <w:tcW w:w="1872" w:type="dxa"/>
            <w:tcBorders>
              <w:top w:val="single" w:sz="4" w:space="0" w:color="auto"/>
              <w:bottom w:val="single" w:sz="4" w:space="0" w:color="auto"/>
            </w:tcBorders>
            <w:vAlign w:val="bottom"/>
          </w:tcPr>
          <w:p w:rsidR="005C29E3" w:rsidRPr="0036258A" w:rsidRDefault="005C29E3" w:rsidP="00B412F2">
            <w:pPr>
              <w:jc w:val="left"/>
              <w:rPr>
                <w:rFonts w:eastAsia="Batang"/>
                <w:b/>
              </w:rPr>
            </w:pPr>
            <w:r w:rsidRPr="0036258A">
              <w:rPr>
                <w:rFonts w:eastAsia="Batang"/>
                <w:b/>
              </w:rPr>
              <w:t>Company</w:t>
            </w:r>
          </w:p>
        </w:tc>
        <w:tc>
          <w:tcPr>
            <w:tcW w:w="1728" w:type="dxa"/>
            <w:tcBorders>
              <w:top w:val="single" w:sz="4" w:space="0" w:color="auto"/>
              <w:bottom w:val="single" w:sz="4" w:space="0" w:color="auto"/>
            </w:tcBorders>
            <w:vAlign w:val="bottom"/>
          </w:tcPr>
          <w:p w:rsidR="005C29E3" w:rsidRPr="0036258A" w:rsidRDefault="005C29E3" w:rsidP="00B412F2">
            <w:pPr>
              <w:jc w:val="right"/>
              <w:rPr>
                <w:rFonts w:eastAsia="Batang"/>
                <w:b/>
              </w:rPr>
            </w:pPr>
            <w:r>
              <w:rPr>
                <w:rFonts w:eastAsia="Batang"/>
                <w:b/>
              </w:rPr>
              <w:t>3</w:t>
            </w:r>
            <w:r w:rsidRPr="0036258A">
              <w:rPr>
                <w:rFonts w:eastAsia="Batang"/>
                <w:b/>
              </w:rPr>
              <w:t>Q1</w:t>
            </w:r>
            <w:r>
              <w:rPr>
                <w:rFonts w:eastAsia="Batang"/>
                <w:b/>
              </w:rPr>
              <w:t>2</w:t>
            </w:r>
          </w:p>
          <w:p w:rsidR="005C29E3" w:rsidRPr="0036258A" w:rsidRDefault="005C29E3" w:rsidP="00B412F2">
            <w:pPr>
              <w:jc w:val="right"/>
              <w:rPr>
                <w:rFonts w:eastAsia="Batang"/>
                <w:b/>
              </w:rPr>
            </w:pPr>
            <w:r>
              <w:rPr>
                <w:rFonts w:eastAsia="Batang"/>
                <w:b/>
              </w:rPr>
              <w:t>Shipment</w:t>
            </w:r>
          </w:p>
        </w:tc>
        <w:tc>
          <w:tcPr>
            <w:tcW w:w="1440" w:type="dxa"/>
            <w:tcBorders>
              <w:top w:val="single" w:sz="4" w:space="0" w:color="auto"/>
              <w:bottom w:val="single" w:sz="4" w:space="0" w:color="auto"/>
            </w:tcBorders>
            <w:vAlign w:val="center"/>
          </w:tcPr>
          <w:p w:rsidR="005C29E3" w:rsidRPr="0036258A" w:rsidRDefault="005C29E3" w:rsidP="00B412F2">
            <w:pPr>
              <w:jc w:val="right"/>
              <w:rPr>
                <w:rFonts w:eastAsia="Batang"/>
                <w:b/>
              </w:rPr>
            </w:pPr>
            <w:r>
              <w:rPr>
                <w:rFonts w:eastAsia="Batang"/>
                <w:b/>
              </w:rPr>
              <w:t>3</w:t>
            </w:r>
            <w:r w:rsidRPr="0036258A">
              <w:rPr>
                <w:rFonts w:eastAsia="Batang"/>
                <w:b/>
              </w:rPr>
              <w:t>Q1</w:t>
            </w:r>
            <w:r>
              <w:rPr>
                <w:rFonts w:eastAsia="Batang"/>
                <w:b/>
              </w:rPr>
              <w:t>2</w:t>
            </w:r>
            <w:r w:rsidRPr="0036258A">
              <w:rPr>
                <w:rFonts w:eastAsia="Batang"/>
                <w:b/>
              </w:rPr>
              <w:t xml:space="preserve"> Market Share (%)</w:t>
            </w:r>
          </w:p>
        </w:tc>
        <w:tc>
          <w:tcPr>
            <w:tcW w:w="1728" w:type="dxa"/>
            <w:tcBorders>
              <w:top w:val="single" w:sz="4" w:space="0" w:color="auto"/>
              <w:bottom w:val="single" w:sz="4" w:space="0" w:color="auto"/>
            </w:tcBorders>
            <w:vAlign w:val="bottom"/>
          </w:tcPr>
          <w:p w:rsidR="005C29E3" w:rsidRPr="0036258A" w:rsidRDefault="005C29E3" w:rsidP="00B412F2">
            <w:pPr>
              <w:jc w:val="right"/>
              <w:rPr>
                <w:rFonts w:eastAsia="Batang"/>
                <w:b/>
              </w:rPr>
            </w:pPr>
            <w:r>
              <w:rPr>
                <w:rFonts w:eastAsia="Batang"/>
                <w:b/>
              </w:rPr>
              <w:t>3</w:t>
            </w:r>
            <w:r w:rsidRPr="0036258A">
              <w:rPr>
                <w:rFonts w:eastAsia="Batang"/>
                <w:b/>
              </w:rPr>
              <w:t>Q</w:t>
            </w:r>
            <w:r>
              <w:rPr>
                <w:rFonts w:eastAsia="Batang"/>
                <w:b/>
              </w:rPr>
              <w:t>11</w:t>
            </w:r>
          </w:p>
          <w:p w:rsidR="005C29E3" w:rsidRPr="0036258A" w:rsidRDefault="005C29E3" w:rsidP="00B412F2">
            <w:pPr>
              <w:jc w:val="right"/>
              <w:rPr>
                <w:rFonts w:eastAsia="Batang"/>
                <w:b/>
              </w:rPr>
            </w:pPr>
            <w:r>
              <w:rPr>
                <w:rFonts w:eastAsia="Batang"/>
                <w:b/>
              </w:rPr>
              <w:t>Shipment</w:t>
            </w:r>
          </w:p>
        </w:tc>
        <w:tc>
          <w:tcPr>
            <w:tcW w:w="1440" w:type="dxa"/>
            <w:tcBorders>
              <w:top w:val="single" w:sz="4" w:space="0" w:color="auto"/>
              <w:bottom w:val="single" w:sz="4" w:space="0" w:color="auto"/>
            </w:tcBorders>
            <w:vAlign w:val="center"/>
          </w:tcPr>
          <w:p w:rsidR="005C29E3" w:rsidRPr="0036258A" w:rsidRDefault="005C29E3" w:rsidP="00B412F2">
            <w:pPr>
              <w:jc w:val="right"/>
              <w:rPr>
                <w:rFonts w:eastAsia="Batang"/>
                <w:b/>
              </w:rPr>
            </w:pPr>
            <w:r>
              <w:rPr>
                <w:rFonts w:eastAsia="Batang"/>
                <w:b/>
              </w:rPr>
              <w:t>3</w:t>
            </w:r>
            <w:r w:rsidRPr="0036258A">
              <w:rPr>
                <w:rFonts w:eastAsia="Batang"/>
                <w:b/>
              </w:rPr>
              <w:t>Q</w:t>
            </w:r>
            <w:r>
              <w:rPr>
                <w:rFonts w:eastAsia="Batang"/>
                <w:b/>
              </w:rPr>
              <w:t>11</w:t>
            </w:r>
            <w:r w:rsidRPr="0036258A">
              <w:rPr>
                <w:rFonts w:eastAsia="Batang"/>
                <w:b/>
              </w:rPr>
              <w:t xml:space="preserve"> Market Share (%)</w:t>
            </w:r>
          </w:p>
        </w:tc>
        <w:tc>
          <w:tcPr>
            <w:tcW w:w="1584" w:type="dxa"/>
            <w:tcBorders>
              <w:top w:val="single" w:sz="4" w:space="0" w:color="auto"/>
              <w:bottom w:val="single" w:sz="4" w:space="0" w:color="auto"/>
            </w:tcBorders>
            <w:vAlign w:val="center"/>
          </w:tcPr>
          <w:p w:rsidR="005C29E3" w:rsidRPr="0036258A" w:rsidRDefault="005C29E3" w:rsidP="005C29E3">
            <w:pPr>
              <w:jc w:val="right"/>
              <w:rPr>
                <w:rFonts w:eastAsia="Batang"/>
                <w:b/>
              </w:rPr>
            </w:pPr>
            <w:r>
              <w:rPr>
                <w:rFonts w:eastAsia="Batang"/>
                <w:b/>
              </w:rPr>
              <w:t>3</w:t>
            </w:r>
            <w:r w:rsidRPr="0036258A">
              <w:rPr>
                <w:rFonts w:eastAsia="Batang"/>
                <w:b/>
              </w:rPr>
              <w:t>Q</w:t>
            </w:r>
            <w:r>
              <w:rPr>
                <w:rFonts w:eastAsia="Batang"/>
                <w:b/>
              </w:rPr>
              <w:t>12</w:t>
            </w:r>
            <w:r w:rsidRPr="0036258A">
              <w:rPr>
                <w:rFonts w:eastAsia="Batang"/>
                <w:b/>
              </w:rPr>
              <w:t>-</w:t>
            </w:r>
            <w:r>
              <w:rPr>
                <w:rFonts w:eastAsia="Batang"/>
                <w:b/>
              </w:rPr>
              <w:t>3</w:t>
            </w:r>
            <w:r w:rsidRPr="0036258A">
              <w:rPr>
                <w:rFonts w:eastAsia="Batang"/>
                <w:b/>
              </w:rPr>
              <w:t>Q1</w:t>
            </w:r>
            <w:r>
              <w:rPr>
                <w:rFonts w:eastAsia="Batang"/>
                <w:b/>
              </w:rPr>
              <w:t>1</w:t>
            </w:r>
            <w:r w:rsidRPr="0036258A">
              <w:rPr>
                <w:rFonts w:eastAsia="Batang"/>
                <w:b/>
              </w:rPr>
              <w:t xml:space="preserve"> Growth (%)</w:t>
            </w:r>
          </w:p>
        </w:tc>
      </w:tr>
      <w:tr w:rsidR="00C941DB" w:rsidRPr="0036258A" w:rsidTr="00B412F2">
        <w:trPr>
          <w:trHeight w:val="225"/>
        </w:trPr>
        <w:tc>
          <w:tcPr>
            <w:tcW w:w="1872" w:type="dxa"/>
            <w:tcBorders>
              <w:top w:val="single" w:sz="4" w:space="0" w:color="auto"/>
            </w:tcBorders>
            <w:vAlign w:val="bottom"/>
          </w:tcPr>
          <w:p w:rsidR="00C941DB" w:rsidRDefault="00C941DB">
            <w:pPr>
              <w:rPr>
                <w:rFonts w:cs="Arial"/>
              </w:rPr>
            </w:pPr>
            <w:r>
              <w:rPr>
                <w:rFonts w:cs="Arial"/>
              </w:rPr>
              <w:t>HP</w:t>
            </w:r>
          </w:p>
        </w:tc>
        <w:tc>
          <w:tcPr>
            <w:tcW w:w="1728" w:type="dxa"/>
            <w:tcBorders>
              <w:top w:val="single" w:sz="4" w:space="0" w:color="auto"/>
            </w:tcBorders>
            <w:vAlign w:val="bottom"/>
          </w:tcPr>
          <w:p w:rsidR="00C941DB" w:rsidRDefault="00C941DB">
            <w:pPr>
              <w:jc w:val="right"/>
              <w:rPr>
                <w:rFonts w:cs="Arial"/>
              </w:rPr>
            </w:pPr>
            <w:r>
              <w:rPr>
                <w:rFonts w:cs="Arial"/>
              </w:rPr>
              <w:t>233,538</w:t>
            </w:r>
          </w:p>
        </w:tc>
        <w:tc>
          <w:tcPr>
            <w:tcW w:w="1440" w:type="dxa"/>
            <w:tcBorders>
              <w:top w:val="single" w:sz="4" w:space="0" w:color="auto"/>
            </w:tcBorders>
            <w:vAlign w:val="bottom"/>
          </w:tcPr>
          <w:p w:rsidR="00C941DB" w:rsidRDefault="00C941DB">
            <w:pPr>
              <w:jc w:val="right"/>
              <w:rPr>
                <w:rFonts w:cs="Arial"/>
              </w:rPr>
            </w:pPr>
            <w:r>
              <w:rPr>
                <w:rFonts w:cs="Arial"/>
              </w:rPr>
              <w:t>39.6</w:t>
            </w:r>
          </w:p>
        </w:tc>
        <w:tc>
          <w:tcPr>
            <w:tcW w:w="1728" w:type="dxa"/>
            <w:tcBorders>
              <w:top w:val="single" w:sz="4" w:space="0" w:color="auto"/>
            </w:tcBorders>
            <w:vAlign w:val="bottom"/>
          </w:tcPr>
          <w:p w:rsidR="00C941DB" w:rsidRDefault="00C941DB">
            <w:pPr>
              <w:jc w:val="right"/>
              <w:rPr>
                <w:rFonts w:cs="Arial"/>
              </w:rPr>
            </w:pPr>
            <w:r>
              <w:rPr>
                <w:rFonts w:cs="Arial"/>
              </w:rPr>
              <w:t>254,457</w:t>
            </w:r>
          </w:p>
        </w:tc>
        <w:tc>
          <w:tcPr>
            <w:tcW w:w="1440" w:type="dxa"/>
            <w:tcBorders>
              <w:top w:val="single" w:sz="4" w:space="0" w:color="auto"/>
            </w:tcBorders>
            <w:vAlign w:val="bottom"/>
          </w:tcPr>
          <w:p w:rsidR="00C941DB" w:rsidRDefault="00C941DB">
            <w:pPr>
              <w:jc w:val="right"/>
              <w:rPr>
                <w:rFonts w:cs="Arial"/>
              </w:rPr>
            </w:pPr>
            <w:r>
              <w:rPr>
                <w:rFonts w:cs="Arial"/>
              </w:rPr>
              <w:t>42.0</w:t>
            </w:r>
          </w:p>
        </w:tc>
        <w:tc>
          <w:tcPr>
            <w:tcW w:w="1584" w:type="dxa"/>
            <w:tcBorders>
              <w:top w:val="single" w:sz="4" w:space="0" w:color="auto"/>
            </w:tcBorders>
            <w:vAlign w:val="bottom"/>
          </w:tcPr>
          <w:p w:rsidR="00C941DB" w:rsidRDefault="00C941DB">
            <w:pPr>
              <w:jc w:val="right"/>
              <w:rPr>
                <w:rFonts w:cs="Arial"/>
              </w:rPr>
            </w:pPr>
            <w:r>
              <w:rPr>
                <w:rFonts w:cs="Arial"/>
              </w:rPr>
              <w:t>-8.2</w:t>
            </w:r>
          </w:p>
        </w:tc>
      </w:tr>
      <w:tr w:rsidR="00C941DB" w:rsidRPr="0036258A" w:rsidTr="00B412F2">
        <w:trPr>
          <w:trHeight w:val="225"/>
        </w:trPr>
        <w:tc>
          <w:tcPr>
            <w:tcW w:w="1872" w:type="dxa"/>
            <w:vAlign w:val="bottom"/>
          </w:tcPr>
          <w:p w:rsidR="00C941DB" w:rsidRDefault="00C941DB">
            <w:pPr>
              <w:rPr>
                <w:rFonts w:cs="Arial"/>
              </w:rPr>
            </w:pPr>
            <w:r>
              <w:rPr>
                <w:rFonts w:cs="Arial"/>
              </w:rPr>
              <w:t>Dell</w:t>
            </w:r>
          </w:p>
        </w:tc>
        <w:tc>
          <w:tcPr>
            <w:tcW w:w="1728" w:type="dxa"/>
            <w:vAlign w:val="bottom"/>
          </w:tcPr>
          <w:p w:rsidR="00C941DB" w:rsidRDefault="00C941DB">
            <w:pPr>
              <w:jc w:val="right"/>
              <w:rPr>
                <w:rFonts w:cs="Arial"/>
              </w:rPr>
            </w:pPr>
            <w:r>
              <w:rPr>
                <w:rFonts w:cs="Arial"/>
              </w:rPr>
              <w:t>119,443</w:t>
            </w:r>
          </w:p>
        </w:tc>
        <w:tc>
          <w:tcPr>
            <w:tcW w:w="1440" w:type="dxa"/>
            <w:vAlign w:val="bottom"/>
          </w:tcPr>
          <w:p w:rsidR="00C941DB" w:rsidRDefault="00C941DB">
            <w:pPr>
              <w:jc w:val="right"/>
              <w:rPr>
                <w:rFonts w:cs="Arial"/>
              </w:rPr>
            </w:pPr>
            <w:r>
              <w:rPr>
                <w:rFonts w:cs="Arial"/>
              </w:rPr>
              <w:t>20.3</w:t>
            </w:r>
          </w:p>
        </w:tc>
        <w:tc>
          <w:tcPr>
            <w:tcW w:w="1728" w:type="dxa"/>
            <w:vAlign w:val="bottom"/>
          </w:tcPr>
          <w:p w:rsidR="00C941DB" w:rsidRDefault="00C941DB">
            <w:pPr>
              <w:jc w:val="right"/>
              <w:rPr>
                <w:rFonts w:cs="Arial"/>
              </w:rPr>
            </w:pPr>
            <w:r>
              <w:rPr>
                <w:rFonts w:cs="Arial"/>
              </w:rPr>
              <w:t>120,145</w:t>
            </w:r>
          </w:p>
        </w:tc>
        <w:tc>
          <w:tcPr>
            <w:tcW w:w="1440" w:type="dxa"/>
            <w:vAlign w:val="bottom"/>
          </w:tcPr>
          <w:p w:rsidR="00C941DB" w:rsidRDefault="00C941DB">
            <w:pPr>
              <w:jc w:val="right"/>
              <w:rPr>
                <w:rFonts w:cs="Arial"/>
              </w:rPr>
            </w:pPr>
            <w:r>
              <w:rPr>
                <w:rFonts w:cs="Arial"/>
              </w:rPr>
              <w:t>19.8</w:t>
            </w:r>
          </w:p>
        </w:tc>
        <w:tc>
          <w:tcPr>
            <w:tcW w:w="1584" w:type="dxa"/>
            <w:vAlign w:val="bottom"/>
          </w:tcPr>
          <w:p w:rsidR="00C941DB" w:rsidRDefault="00C941DB">
            <w:pPr>
              <w:jc w:val="right"/>
              <w:rPr>
                <w:rFonts w:cs="Arial"/>
              </w:rPr>
            </w:pPr>
            <w:r>
              <w:rPr>
                <w:rFonts w:cs="Arial"/>
              </w:rPr>
              <w:t>-0.6</w:t>
            </w:r>
          </w:p>
        </w:tc>
      </w:tr>
      <w:tr w:rsidR="00C941DB" w:rsidRPr="0036258A" w:rsidTr="00B412F2">
        <w:trPr>
          <w:trHeight w:val="225"/>
        </w:trPr>
        <w:tc>
          <w:tcPr>
            <w:tcW w:w="1872" w:type="dxa"/>
            <w:vAlign w:val="bottom"/>
          </w:tcPr>
          <w:p w:rsidR="00C941DB" w:rsidRDefault="00C941DB">
            <w:pPr>
              <w:rPr>
                <w:rFonts w:cs="Arial"/>
              </w:rPr>
            </w:pPr>
            <w:r>
              <w:rPr>
                <w:rFonts w:cs="Arial"/>
              </w:rPr>
              <w:t>IBM</w:t>
            </w:r>
          </w:p>
        </w:tc>
        <w:tc>
          <w:tcPr>
            <w:tcW w:w="1728" w:type="dxa"/>
            <w:vAlign w:val="bottom"/>
          </w:tcPr>
          <w:p w:rsidR="00C941DB" w:rsidRDefault="00C941DB">
            <w:pPr>
              <w:jc w:val="right"/>
              <w:rPr>
                <w:rFonts w:cs="Arial"/>
              </w:rPr>
            </w:pPr>
            <w:r>
              <w:rPr>
                <w:rFonts w:cs="Arial"/>
              </w:rPr>
              <w:t>70,712</w:t>
            </w:r>
          </w:p>
        </w:tc>
        <w:tc>
          <w:tcPr>
            <w:tcW w:w="1440" w:type="dxa"/>
            <w:vAlign w:val="bottom"/>
          </w:tcPr>
          <w:p w:rsidR="00C941DB" w:rsidRDefault="00C941DB">
            <w:pPr>
              <w:jc w:val="right"/>
              <w:rPr>
                <w:rFonts w:cs="Arial"/>
              </w:rPr>
            </w:pPr>
            <w:r>
              <w:rPr>
                <w:rFonts w:cs="Arial"/>
              </w:rPr>
              <w:t>12.0</w:t>
            </w:r>
          </w:p>
        </w:tc>
        <w:tc>
          <w:tcPr>
            <w:tcW w:w="1728" w:type="dxa"/>
            <w:vAlign w:val="bottom"/>
          </w:tcPr>
          <w:p w:rsidR="00C941DB" w:rsidRDefault="00C941DB">
            <w:pPr>
              <w:jc w:val="right"/>
              <w:rPr>
                <w:rFonts w:cs="Arial"/>
              </w:rPr>
            </w:pPr>
            <w:r>
              <w:rPr>
                <w:rFonts w:cs="Arial"/>
              </w:rPr>
              <w:t>67,102</w:t>
            </w:r>
          </w:p>
        </w:tc>
        <w:tc>
          <w:tcPr>
            <w:tcW w:w="1440" w:type="dxa"/>
            <w:vAlign w:val="bottom"/>
          </w:tcPr>
          <w:p w:rsidR="00C941DB" w:rsidRDefault="00C941DB">
            <w:pPr>
              <w:jc w:val="right"/>
              <w:rPr>
                <w:rFonts w:cs="Arial"/>
              </w:rPr>
            </w:pPr>
            <w:r>
              <w:rPr>
                <w:rFonts w:cs="Arial"/>
              </w:rPr>
              <w:t>11.1</w:t>
            </w:r>
          </w:p>
        </w:tc>
        <w:tc>
          <w:tcPr>
            <w:tcW w:w="1584" w:type="dxa"/>
            <w:vAlign w:val="bottom"/>
          </w:tcPr>
          <w:p w:rsidR="00C941DB" w:rsidRDefault="00C941DB">
            <w:pPr>
              <w:jc w:val="right"/>
              <w:rPr>
                <w:rFonts w:cs="Arial"/>
              </w:rPr>
            </w:pPr>
            <w:r>
              <w:rPr>
                <w:rFonts w:cs="Arial"/>
              </w:rPr>
              <w:t>5.4</w:t>
            </w:r>
          </w:p>
        </w:tc>
      </w:tr>
      <w:tr w:rsidR="00C941DB" w:rsidRPr="0036258A" w:rsidTr="00B412F2">
        <w:trPr>
          <w:trHeight w:val="225"/>
        </w:trPr>
        <w:tc>
          <w:tcPr>
            <w:tcW w:w="1872" w:type="dxa"/>
            <w:vAlign w:val="bottom"/>
          </w:tcPr>
          <w:p w:rsidR="00C941DB" w:rsidRDefault="00C941DB">
            <w:pPr>
              <w:rPr>
                <w:rFonts w:cs="Arial"/>
              </w:rPr>
            </w:pPr>
            <w:r>
              <w:rPr>
                <w:rFonts w:cs="Arial"/>
              </w:rPr>
              <w:t>Fujitsu</w:t>
            </w:r>
          </w:p>
        </w:tc>
        <w:tc>
          <w:tcPr>
            <w:tcW w:w="1728" w:type="dxa"/>
            <w:vAlign w:val="bottom"/>
          </w:tcPr>
          <w:p w:rsidR="00C941DB" w:rsidRDefault="00C941DB">
            <w:pPr>
              <w:jc w:val="right"/>
              <w:rPr>
                <w:rFonts w:cs="Arial"/>
              </w:rPr>
            </w:pPr>
            <w:r>
              <w:rPr>
                <w:rFonts w:cs="Arial"/>
              </w:rPr>
              <w:t>31,738</w:t>
            </w:r>
          </w:p>
        </w:tc>
        <w:tc>
          <w:tcPr>
            <w:tcW w:w="1440" w:type="dxa"/>
            <w:vAlign w:val="bottom"/>
          </w:tcPr>
          <w:p w:rsidR="00C941DB" w:rsidRDefault="00C941DB">
            <w:pPr>
              <w:jc w:val="right"/>
              <w:rPr>
                <w:rFonts w:cs="Arial"/>
              </w:rPr>
            </w:pPr>
            <w:r>
              <w:rPr>
                <w:rFonts w:cs="Arial"/>
              </w:rPr>
              <w:t>5.4</w:t>
            </w:r>
          </w:p>
        </w:tc>
        <w:tc>
          <w:tcPr>
            <w:tcW w:w="1728" w:type="dxa"/>
            <w:vAlign w:val="bottom"/>
          </w:tcPr>
          <w:p w:rsidR="00C941DB" w:rsidRDefault="00C941DB">
            <w:pPr>
              <w:jc w:val="right"/>
              <w:rPr>
                <w:rFonts w:cs="Arial"/>
              </w:rPr>
            </w:pPr>
            <w:r>
              <w:rPr>
                <w:rFonts w:cs="Arial"/>
              </w:rPr>
              <w:t>39,173</w:t>
            </w:r>
          </w:p>
        </w:tc>
        <w:tc>
          <w:tcPr>
            <w:tcW w:w="1440" w:type="dxa"/>
            <w:vAlign w:val="bottom"/>
          </w:tcPr>
          <w:p w:rsidR="00C941DB" w:rsidRDefault="00C941DB">
            <w:pPr>
              <w:jc w:val="right"/>
              <w:rPr>
                <w:rFonts w:cs="Arial"/>
              </w:rPr>
            </w:pPr>
            <w:r>
              <w:rPr>
                <w:rFonts w:cs="Arial"/>
              </w:rPr>
              <w:t>6.5</w:t>
            </w:r>
          </w:p>
        </w:tc>
        <w:tc>
          <w:tcPr>
            <w:tcW w:w="1584" w:type="dxa"/>
            <w:vAlign w:val="bottom"/>
          </w:tcPr>
          <w:p w:rsidR="00C941DB" w:rsidRDefault="00C941DB">
            <w:pPr>
              <w:jc w:val="right"/>
              <w:rPr>
                <w:rFonts w:cs="Arial"/>
              </w:rPr>
            </w:pPr>
            <w:r>
              <w:rPr>
                <w:rFonts w:cs="Arial"/>
              </w:rPr>
              <w:t>-19.0</w:t>
            </w:r>
          </w:p>
        </w:tc>
      </w:tr>
      <w:tr w:rsidR="00C941DB" w:rsidRPr="0036258A" w:rsidTr="00B412F2">
        <w:trPr>
          <w:trHeight w:val="225"/>
        </w:trPr>
        <w:tc>
          <w:tcPr>
            <w:tcW w:w="1872" w:type="dxa"/>
            <w:vAlign w:val="bottom"/>
          </w:tcPr>
          <w:p w:rsidR="00C941DB" w:rsidRDefault="00C941DB">
            <w:pPr>
              <w:rPr>
                <w:rFonts w:cs="Arial"/>
              </w:rPr>
            </w:pPr>
            <w:r>
              <w:rPr>
                <w:rFonts w:cs="Arial"/>
              </w:rPr>
              <w:t>Cisco</w:t>
            </w:r>
          </w:p>
        </w:tc>
        <w:tc>
          <w:tcPr>
            <w:tcW w:w="1728" w:type="dxa"/>
            <w:vAlign w:val="bottom"/>
          </w:tcPr>
          <w:p w:rsidR="00C941DB" w:rsidRDefault="00C941DB">
            <w:pPr>
              <w:jc w:val="right"/>
              <w:rPr>
                <w:rFonts w:cs="Arial"/>
              </w:rPr>
            </w:pPr>
            <w:r>
              <w:rPr>
                <w:rFonts w:cs="Arial"/>
              </w:rPr>
              <w:t>11,756</w:t>
            </w:r>
          </w:p>
        </w:tc>
        <w:tc>
          <w:tcPr>
            <w:tcW w:w="1440" w:type="dxa"/>
            <w:vAlign w:val="bottom"/>
          </w:tcPr>
          <w:p w:rsidR="00C941DB" w:rsidRDefault="00C941DB">
            <w:pPr>
              <w:jc w:val="right"/>
              <w:rPr>
                <w:rFonts w:cs="Arial"/>
              </w:rPr>
            </w:pPr>
            <w:r>
              <w:rPr>
                <w:rFonts w:cs="Arial"/>
              </w:rPr>
              <w:t>2.0</w:t>
            </w:r>
          </w:p>
        </w:tc>
        <w:tc>
          <w:tcPr>
            <w:tcW w:w="1728" w:type="dxa"/>
            <w:vAlign w:val="bottom"/>
          </w:tcPr>
          <w:p w:rsidR="00C941DB" w:rsidRDefault="00C941DB">
            <w:pPr>
              <w:jc w:val="right"/>
              <w:rPr>
                <w:rFonts w:cs="Arial"/>
              </w:rPr>
            </w:pPr>
            <w:r>
              <w:rPr>
                <w:rFonts w:cs="Arial"/>
              </w:rPr>
              <w:t>7,901</w:t>
            </w:r>
          </w:p>
        </w:tc>
        <w:tc>
          <w:tcPr>
            <w:tcW w:w="1440" w:type="dxa"/>
            <w:vAlign w:val="bottom"/>
          </w:tcPr>
          <w:p w:rsidR="00C941DB" w:rsidRDefault="00C941DB">
            <w:pPr>
              <w:jc w:val="right"/>
              <w:rPr>
                <w:rFonts w:cs="Arial"/>
              </w:rPr>
            </w:pPr>
            <w:r>
              <w:rPr>
                <w:rFonts w:cs="Arial"/>
              </w:rPr>
              <w:t>1.3</w:t>
            </w:r>
          </w:p>
        </w:tc>
        <w:tc>
          <w:tcPr>
            <w:tcW w:w="1584" w:type="dxa"/>
            <w:vAlign w:val="bottom"/>
          </w:tcPr>
          <w:p w:rsidR="00C941DB" w:rsidRDefault="00C941DB">
            <w:pPr>
              <w:jc w:val="right"/>
              <w:rPr>
                <w:rFonts w:cs="Arial"/>
              </w:rPr>
            </w:pPr>
            <w:r>
              <w:rPr>
                <w:rFonts w:cs="Arial"/>
              </w:rPr>
              <w:t>48.8</w:t>
            </w:r>
          </w:p>
        </w:tc>
      </w:tr>
      <w:tr w:rsidR="00C941DB" w:rsidRPr="0036258A" w:rsidTr="00B412F2">
        <w:trPr>
          <w:trHeight w:val="240"/>
        </w:trPr>
        <w:tc>
          <w:tcPr>
            <w:tcW w:w="1872" w:type="dxa"/>
            <w:vAlign w:val="bottom"/>
          </w:tcPr>
          <w:p w:rsidR="00C941DB" w:rsidRPr="003A3C9D" w:rsidRDefault="00C941DB" w:rsidP="00B412F2">
            <w:pPr>
              <w:rPr>
                <w:rFonts w:cs="Arial"/>
                <w:color w:val="000000"/>
              </w:rPr>
            </w:pPr>
            <w:r w:rsidRPr="003A3C9D">
              <w:rPr>
                <w:rFonts w:cs="Arial"/>
                <w:color w:val="000000"/>
              </w:rPr>
              <w:t>Other Vendors</w:t>
            </w:r>
          </w:p>
        </w:tc>
        <w:tc>
          <w:tcPr>
            <w:tcW w:w="1728" w:type="dxa"/>
            <w:vAlign w:val="bottom"/>
          </w:tcPr>
          <w:p w:rsidR="00C941DB" w:rsidRDefault="00C941DB" w:rsidP="00C941DB">
            <w:pPr>
              <w:jc w:val="right"/>
              <w:rPr>
                <w:rFonts w:cs="Arial"/>
              </w:rPr>
            </w:pPr>
            <w:r>
              <w:rPr>
                <w:rFonts w:cs="Arial"/>
              </w:rPr>
              <w:t>122,613</w:t>
            </w:r>
          </w:p>
        </w:tc>
        <w:tc>
          <w:tcPr>
            <w:tcW w:w="1440" w:type="dxa"/>
            <w:vAlign w:val="bottom"/>
          </w:tcPr>
          <w:p w:rsidR="00C941DB" w:rsidRDefault="00C941DB" w:rsidP="00C941DB">
            <w:pPr>
              <w:jc w:val="right"/>
              <w:rPr>
                <w:rFonts w:cs="Arial"/>
              </w:rPr>
            </w:pPr>
            <w:r>
              <w:rPr>
                <w:rFonts w:cs="Arial"/>
              </w:rPr>
              <w:t>20.8</w:t>
            </w:r>
          </w:p>
        </w:tc>
        <w:tc>
          <w:tcPr>
            <w:tcW w:w="1728" w:type="dxa"/>
            <w:vAlign w:val="bottom"/>
          </w:tcPr>
          <w:p w:rsidR="00C941DB" w:rsidRDefault="00C941DB" w:rsidP="00C941DB">
            <w:pPr>
              <w:jc w:val="right"/>
              <w:rPr>
                <w:rFonts w:cs="Arial"/>
              </w:rPr>
            </w:pPr>
            <w:r>
              <w:rPr>
                <w:rFonts w:cs="Arial"/>
              </w:rPr>
              <w:t>117,743</w:t>
            </w:r>
          </w:p>
        </w:tc>
        <w:tc>
          <w:tcPr>
            <w:tcW w:w="1440" w:type="dxa"/>
            <w:vAlign w:val="bottom"/>
          </w:tcPr>
          <w:p w:rsidR="00C941DB" w:rsidRDefault="00C941DB" w:rsidP="00C941DB">
            <w:pPr>
              <w:jc w:val="right"/>
              <w:rPr>
                <w:rFonts w:cs="Arial"/>
              </w:rPr>
            </w:pPr>
            <w:r>
              <w:rPr>
                <w:rFonts w:cs="Arial"/>
              </w:rPr>
              <w:t>19.4</w:t>
            </w:r>
          </w:p>
        </w:tc>
        <w:tc>
          <w:tcPr>
            <w:tcW w:w="1584" w:type="dxa"/>
            <w:vAlign w:val="bottom"/>
          </w:tcPr>
          <w:p w:rsidR="00C941DB" w:rsidRDefault="00C941DB" w:rsidP="00C941DB">
            <w:pPr>
              <w:jc w:val="right"/>
              <w:rPr>
                <w:rFonts w:cs="Arial"/>
              </w:rPr>
            </w:pPr>
            <w:r>
              <w:rPr>
                <w:rFonts w:cs="Arial"/>
              </w:rPr>
              <w:t>4.1</w:t>
            </w:r>
          </w:p>
        </w:tc>
      </w:tr>
      <w:tr w:rsidR="005C29E3" w:rsidRPr="0036258A" w:rsidTr="00B412F2">
        <w:trPr>
          <w:trHeight w:val="225"/>
        </w:trPr>
        <w:tc>
          <w:tcPr>
            <w:tcW w:w="1872" w:type="dxa"/>
            <w:vAlign w:val="bottom"/>
          </w:tcPr>
          <w:p w:rsidR="005C29E3" w:rsidRPr="00473566" w:rsidRDefault="005C29E3" w:rsidP="00B412F2">
            <w:pPr>
              <w:rPr>
                <w:rFonts w:cs="Arial"/>
                <w:b/>
                <w:bCs/>
                <w:color w:val="000000"/>
              </w:rPr>
            </w:pPr>
            <w:r w:rsidRPr="00473566">
              <w:rPr>
                <w:rFonts w:cs="Arial"/>
                <w:b/>
                <w:bCs/>
                <w:color w:val="000000"/>
              </w:rPr>
              <w:t>Total</w:t>
            </w:r>
          </w:p>
        </w:tc>
        <w:tc>
          <w:tcPr>
            <w:tcW w:w="1728" w:type="dxa"/>
            <w:vAlign w:val="bottom"/>
          </w:tcPr>
          <w:p w:rsidR="005C29E3" w:rsidRPr="00473566" w:rsidRDefault="00C941DB" w:rsidP="00C941DB">
            <w:pPr>
              <w:jc w:val="right"/>
              <w:rPr>
                <w:rFonts w:cs="Arial"/>
                <w:b/>
                <w:color w:val="000000"/>
              </w:rPr>
            </w:pPr>
            <w:r w:rsidRPr="00473566">
              <w:rPr>
                <w:rFonts w:cs="Arial"/>
                <w:b/>
              </w:rPr>
              <w:t>589,800</w:t>
            </w:r>
          </w:p>
        </w:tc>
        <w:tc>
          <w:tcPr>
            <w:tcW w:w="1440" w:type="dxa"/>
            <w:vAlign w:val="bottom"/>
          </w:tcPr>
          <w:p w:rsidR="005C29E3" w:rsidRPr="00473566" w:rsidRDefault="00C941DB" w:rsidP="00B412F2">
            <w:pPr>
              <w:jc w:val="right"/>
              <w:rPr>
                <w:rFonts w:cs="Arial"/>
                <w:b/>
                <w:bCs/>
                <w:color w:val="000000"/>
              </w:rPr>
            </w:pPr>
            <w:r w:rsidRPr="00473566">
              <w:rPr>
                <w:rFonts w:cs="Arial"/>
                <w:b/>
                <w:bCs/>
                <w:color w:val="000000"/>
              </w:rPr>
              <w:t>100.0</w:t>
            </w:r>
          </w:p>
        </w:tc>
        <w:tc>
          <w:tcPr>
            <w:tcW w:w="1728" w:type="dxa"/>
            <w:vAlign w:val="bottom"/>
          </w:tcPr>
          <w:p w:rsidR="005C29E3" w:rsidRPr="00473566" w:rsidRDefault="00C941DB" w:rsidP="00C941DB">
            <w:pPr>
              <w:jc w:val="right"/>
              <w:rPr>
                <w:rFonts w:cs="Arial"/>
                <w:b/>
                <w:color w:val="000000"/>
              </w:rPr>
            </w:pPr>
            <w:r w:rsidRPr="00473566">
              <w:rPr>
                <w:rFonts w:cs="Arial"/>
                <w:b/>
              </w:rPr>
              <w:t>606,521</w:t>
            </w:r>
          </w:p>
        </w:tc>
        <w:tc>
          <w:tcPr>
            <w:tcW w:w="1440" w:type="dxa"/>
            <w:vAlign w:val="bottom"/>
          </w:tcPr>
          <w:p w:rsidR="005C29E3" w:rsidRPr="00473566" w:rsidRDefault="00C941DB" w:rsidP="00B412F2">
            <w:pPr>
              <w:jc w:val="right"/>
              <w:rPr>
                <w:rFonts w:cs="Arial"/>
                <w:b/>
                <w:bCs/>
                <w:color w:val="000000"/>
              </w:rPr>
            </w:pPr>
            <w:r w:rsidRPr="00473566">
              <w:rPr>
                <w:rFonts w:cs="Arial"/>
                <w:b/>
                <w:bCs/>
                <w:color w:val="000000"/>
              </w:rPr>
              <w:t>100.0</w:t>
            </w:r>
          </w:p>
        </w:tc>
        <w:tc>
          <w:tcPr>
            <w:tcW w:w="1584" w:type="dxa"/>
            <w:vAlign w:val="bottom"/>
          </w:tcPr>
          <w:p w:rsidR="005C29E3" w:rsidRPr="00473566" w:rsidRDefault="00C941DB" w:rsidP="00B412F2">
            <w:pPr>
              <w:jc w:val="right"/>
              <w:rPr>
                <w:rFonts w:cs="Arial"/>
                <w:b/>
                <w:bCs/>
                <w:color w:val="000000"/>
              </w:rPr>
            </w:pPr>
            <w:r w:rsidRPr="00473566">
              <w:rPr>
                <w:rFonts w:cs="Arial"/>
                <w:b/>
                <w:bCs/>
                <w:color w:val="000000"/>
              </w:rPr>
              <w:t>-2.8</w:t>
            </w:r>
          </w:p>
        </w:tc>
      </w:tr>
    </w:tbl>
    <w:p w:rsidR="005C29E3" w:rsidRPr="00680494" w:rsidRDefault="005C29E3" w:rsidP="005C29E3">
      <w:pPr>
        <w:pStyle w:val="contact"/>
        <w:rPr>
          <w:rFonts w:ascii="Arial" w:hAnsi="Arial"/>
          <w:sz w:val="18"/>
          <w:szCs w:val="18"/>
        </w:rPr>
      </w:pPr>
      <w:r w:rsidRPr="00680494">
        <w:rPr>
          <w:rFonts w:ascii="Arial" w:hAnsi="Arial"/>
          <w:sz w:val="18"/>
          <w:szCs w:val="18"/>
        </w:rPr>
        <w:t>Source: Gartner (</w:t>
      </w:r>
      <w:r>
        <w:rPr>
          <w:rFonts w:ascii="Arial" w:hAnsi="Arial"/>
          <w:sz w:val="18"/>
          <w:szCs w:val="18"/>
        </w:rPr>
        <w:t>November</w:t>
      </w:r>
      <w:r w:rsidRPr="00680494">
        <w:rPr>
          <w:rFonts w:ascii="Arial" w:hAnsi="Arial"/>
          <w:sz w:val="18"/>
          <w:szCs w:val="18"/>
        </w:rPr>
        <w:t xml:space="preserve"> 2012)</w:t>
      </w:r>
    </w:p>
    <w:p w:rsidR="005C29E3" w:rsidRPr="00E171D7" w:rsidRDefault="005C29E3" w:rsidP="00C649C4">
      <w:pPr>
        <w:pStyle w:val="BodyText"/>
        <w:widowControl/>
        <w:spacing w:after="0" w:line="240" w:lineRule="auto"/>
        <w:rPr>
          <w:szCs w:val="22"/>
          <w:lang w:val="en-GB"/>
        </w:rPr>
      </w:pPr>
    </w:p>
    <w:p w:rsidR="00007897" w:rsidRDefault="008C2A88">
      <w:pPr>
        <w:pStyle w:val="BodyText"/>
        <w:widowControl/>
        <w:spacing w:after="0" w:line="240" w:lineRule="auto"/>
        <w:rPr>
          <w:szCs w:val="22"/>
        </w:rPr>
      </w:pPr>
      <w:r>
        <w:rPr>
          <w:szCs w:val="22"/>
        </w:rPr>
        <w:t>Additional information is available to subscribers of Gartner Dataquest’s Servers Quarterly Statistics Worldwide program</w:t>
      </w:r>
      <w:r w:rsidR="00473566">
        <w:rPr>
          <w:szCs w:val="22"/>
        </w:rPr>
        <w:t>me</w:t>
      </w:r>
      <w:r>
        <w:rPr>
          <w:szCs w:val="22"/>
        </w:rPr>
        <w:t>. This program</w:t>
      </w:r>
      <w:r w:rsidR="00473566">
        <w:rPr>
          <w:szCs w:val="22"/>
        </w:rPr>
        <w:t>me</w:t>
      </w:r>
      <w:r>
        <w:rPr>
          <w:szCs w:val="22"/>
        </w:rPr>
        <w:t xml:space="preserve"> provides worldwide market size and share data by vendor revenue and unit shipments. Segments include: region, vendor, vendo</w:t>
      </w:r>
      <w:r w:rsidR="00A97A55">
        <w:rPr>
          <w:szCs w:val="22"/>
        </w:rPr>
        <w:t>r brand, sub brand, CPU type, C</w:t>
      </w:r>
      <w:r>
        <w:rPr>
          <w:szCs w:val="22"/>
        </w:rPr>
        <w:t>P</w:t>
      </w:r>
      <w:r w:rsidR="00A97A55">
        <w:rPr>
          <w:szCs w:val="22"/>
        </w:rPr>
        <w:t>U</w:t>
      </w:r>
      <w:r>
        <w:rPr>
          <w:szCs w:val="22"/>
        </w:rPr>
        <w:t xml:space="preserve"> group, </w:t>
      </w:r>
      <w:r w:rsidR="00A97A55">
        <w:rPr>
          <w:szCs w:val="22"/>
        </w:rPr>
        <w:t xml:space="preserve">Max CPU, </w:t>
      </w:r>
      <w:r>
        <w:rPr>
          <w:szCs w:val="22"/>
        </w:rPr>
        <w:t>platform, price band, o</w:t>
      </w:r>
      <w:r w:rsidR="00A97A55">
        <w:rPr>
          <w:szCs w:val="22"/>
        </w:rPr>
        <w:t>perating systems and distribution</w:t>
      </w:r>
      <w:r>
        <w:rPr>
          <w:szCs w:val="22"/>
        </w:rPr>
        <w:t xml:space="preserve"> channels.</w:t>
      </w:r>
    </w:p>
    <w:p w:rsidR="008C2A88" w:rsidRDefault="008C2A88">
      <w:pPr>
        <w:pStyle w:val="BodyText"/>
        <w:widowControl/>
        <w:spacing w:after="0" w:line="240" w:lineRule="auto"/>
        <w:rPr>
          <w:szCs w:val="22"/>
        </w:rPr>
      </w:pPr>
    </w:p>
    <w:p w:rsidR="00262FE2" w:rsidRPr="00E63C56" w:rsidRDefault="00262FE2" w:rsidP="00E63C56">
      <w:pPr>
        <w:rPr>
          <w:b/>
          <w:sz w:val="22"/>
          <w:szCs w:val="22"/>
        </w:rPr>
      </w:pPr>
      <w:r w:rsidRPr="00E63C56">
        <w:rPr>
          <w:b/>
          <w:sz w:val="22"/>
          <w:szCs w:val="22"/>
        </w:rPr>
        <w:t>About Gartner</w:t>
      </w:r>
    </w:p>
    <w:p w:rsidR="005C29E3" w:rsidRDefault="00B47EBC" w:rsidP="005C29E3">
      <w:pPr>
        <w:jc w:val="left"/>
        <w:rPr>
          <w:rFonts w:cs="Arial"/>
          <w:color w:val="000000"/>
          <w:sz w:val="22"/>
          <w:szCs w:val="22"/>
        </w:rPr>
      </w:pPr>
      <w:r w:rsidRPr="00FC401B">
        <w:rPr>
          <w:rFonts w:cs="Arial"/>
          <w:sz w:val="22"/>
          <w:szCs w:val="22"/>
        </w:rPr>
        <w:t>Gartner, Inc. (NYSE: IT) is the world's leading</w:t>
      </w:r>
      <w:r w:rsidRPr="000C563B">
        <w:rPr>
          <w:rFonts w:cs="Arial"/>
          <w:color w:val="000000"/>
          <w:sz w:val="22"/>
          <w:szCs w:val="22"/>
        </w:rPr>
        <w:t xml:space="preserve">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w:t>
      </w:r>
      <w:r>
        <w:rPr>
          <w:rFonts w:cs="Arial"/>
          <w:color w:val="000000"/>
          <w:sz w:val="22"/>
          <w:szCs w:val="22"/>
        </w:rPr>
        <w:t>er is a valuable partner in 12,4</w:t>
      </w:r>
      <w:r w:rsidRPr="000C563B">
        <w:rPr>
          <w:rFonts w:cs="Arial"/>
          <w:color w:val="000000"/>
          <w:sz w:val="22"/>
          <w:szCs w:val="22"/>
        </w:rPr>
        <w:t>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w:t>
      </w:r>
      <w:r>
        <w:rPr>
          <w:rFonts w:cs="Arial"/>
          <w:color w:val="000000"/>
          <w:sz w:val="22"/>
          <w:szCs w:val="22"/>
        </w:rPr>
        <w:t>d, Connecticut, USA, and has 5,3</w:t>
      </w:r>
      <w:r w:rsidRPr="000C563B">
        <w:rPr>
          <w:rFonts w:cs="Arial"/>
          <w:color w:val="000000"/>
          <w:sz w:val="22"/>
          <w:szCs w:val="22"/>
        </w:rPr>
        <w:t xml:space="preserve">00 associates, including </w:t>
      </w:r>
      <w:r>
        <w:rPr>
          <w:rFonts w:cs="Arial"/>
          <w:color w:val="000000"/>
          <w:sz w:val="22"/>
          <w:szCs w:val="22"/>
        </w:rPr>
        <w:t>1,390</w:t>
      </w:r>
      <w:r w:rsidRPr="000C563B">
        <w:rPr>
          <w:rFonts w:cs="Arial"/>
          <w:color w:val="000000"/>
          <w:sz w:val="22"/>
          <w:szCs w:val="22"/>
        </w:rPr>
        <w:t xml:space="preserve"> research analysts and consultants, and clients in 85 countries. For more information, visit</w:t>
      </w:r>
      <w:r>
        <w:rPr>
          <w:rFonts w:cs="Arial"/>
          <w:color w:val="000000"/>
          <w:sz w:val="22"/>
          <w:szCs w:val="22"/>
        </w:rPr>
        <w:t xml:space="preserve"> </w:t>
      </w:r>
      <w:hyperlink r:id="rId9" w:history="1">
        <w:r w:rsidRPr="003D05F4">
          <w:rPr>
            <w:rStyle w:val="Hyperlink"/>
            <w:rFonts w:cs="Arial"/>
            <w:sz w:val="22"/>
            <w:szCs w:val="22"/>
          </w:rPr>
          <w:t>www.gartner.com</w:t>
        </w:r>
      </w:hyperlink>
      <w:r>
        <w:rPr>
          <w:rFonts w:cs="Arial"/>
          <w:color w:val="000000"/>
          <w:sz w:val="22"/>
          <w:szCs w:val="22"/>
        </w:rPr>
        <w:t>.</w:t>
      </w:r>
    </w:p>
    <w:p w:rsidR="00BF719B" w:rsidRDefault="00BF719B">
      <w:pPr>
        <w:jc w:val="center"/>
        <w:rPr>
          <w:sz w:val="22"/>
          <w:lang w:val="en-GB"/>
        </w:rPr>
      </w:pPr>
      <w:r>
        <w:rPr>
          <w:sz w:val="22"/>
          <w:lang w:val="en-GB"/>
        </w:rPr>
        <w:t># # #</w:t>
      </w:r>
    </w:p>
    <w:sectPr w:rsidR="00BF719B" w:rsidSect="00281BEB">
      <w:headerReference w:type="default" r:id="rId10"/>
      <w:footerReference w:type="default" r:id="rId11"/>
      <w:headerReference w:type="first" r:id="rId12"/>
      <w:footerReference w:type="first" r:id="rId13"/>
      <w:pgSz w:w="12240" w:h="15840" w:code="1"/>
      <w:pgMar w:top="562" w:right="850" w:bottom="850" w:left="1008" w:header="85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E7" w:rsidRDefault="009140E7">
      <w:r>
        <w:separator/>
      </w:r>
    </w:p>
  </w:endnote>
  <w:endnote w:type="continuationSeparator" w:id="0">
    <w:p w:rsidR="009140E7" w:rsidRDefault="009140E7">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E171D7">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E171D7">
      <w:tc>
        <w:tcPr>
          <w:tcW w:w="6991" w:type="dxa"/>
        </w:tcPr>
        <w:p w:rsidR="00E171D7" w:rsidRDefault="00E171D7">
          <w:pPr>
            <w:pStyle w:val="xFtrLogo"/>
            <w:rPr>
              <w:b/>
            </w:rPr>
          </w:pPr>
          <w:r>
            <w:rPr>
              <w:b/>
            </w:rPr>
            <w:t xml:space="preserve">Gartner, Inc. </w:t>
          </w:r>
        </w:p>
      </w:tc>
      <w:tc>
        <w:tcPr>
          <w:tcW w:w="3449" w:type="dxa"/>
        </w:tcPr>
        <w:p w:rsidR="00E171D7" w:rsidRDefault="00E171D7">
          <w:pPr>
            <w:pStyle w:val="Footer"/>
            <w:spacing w:before="60"/>
            <w:ind w:left="144"/>
            <w:jc w:val="right"/>
          </w:pPr>
          <w:r>
            <w:t xml:space="preserve">page </w:t>
          </w:r>
          <w:r w:rsidR="00AE1461">
            <w:rPr>
              <w:rStyle w:val="PageNumber"/>
            </w:rPr>
            <w:fldChar w:fldCharType="begin"/>
          </w:r>
          <w:r>
            <w:rPr>
              <w:rStyle w:val="PageNumber"/>
            </w:rPr>
            <w:instrText xml:space="preserve"> PAGE </w:instrText>
          </w:r>
          <w:r w:rsidR="00AE1461">
            <w:rPr>
              <w:rStyle w:val="PageNumber"/>
            </w:rPr>
            <w:fldChar w:fldCharType="separate"/>
          </w:r>
          <w:r w:rsidR="0031512C">
            <w:rPr>
              <w:rStyle w:val="PageNumber"/>
              <w:noProof/>
            </w:rPr>
            <w:t>3</w:t>
          </w:r>
          <w:r w:rsidR="00AE1461">
            <w:rPr>
              <w:rStyle w:val="PageNumber"/>
            </w:rPr>
            <w:fldChar w:fldCharType="end"/>
          </w:r>
        </w:p>
      </w:tc>
    </w:tr>
  </w:tbl>
  <w:p w:rsidR="00E171D7" w:rsidRDefault="00E171D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AE1461">
    <w:pPr>
      <w:jc w:val="center"/>
    </w:pPr>
    <w:r>
      <w:fldChar w:fldCharType="begin"/>
    </w:r>
    <w:r w:rsidR="00E171D7">
      <w:instrText xml:space="preserve"> if </w:instrText>
    </w:r>
    <w:fldSimple w:instr=" page ">
      <w:r w:rsidR="0031512C">
        <w:rPr>
          <w:noProof/>
        </w:rPr>
        <w:instrText>1</w:instrText>
      </w:r>
    </w:fldSimple>
    <w:r w:rsidR="00E171D7">
      <w:instrText xml:space="preserve"> = </w:instrText>
    </w:r>
    <w:fldSimple w:instr=" numpages ">
      <w:r w:rsidR="0031512C">
        <w:rPr>
          <w:noProof/>
        </w:rPr>
        <w:instrText>3</w:instrText>
      </w:r>
    </w:fldSimple>
    <w:r w:rsidR="00E171D7">
      <w:instrText xml:space="preserve"> "" "-more-" </w:instrText>
    </w:r>
    <w:r w:rsidR="0031512C">
      <w:fldChar w:fldCharType="separate"/>
    </w:r>
    <w:r w:rsidR="0031512C">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E7" w:rsidRDefault="009140E7">
      <w:r>
        <w:separator/>
      </w:r>
    </w:p>
  </w:footnote>
  <w:footnote w:type="continuationSeparator" w:id="0">
    <w:p w:rsidR="009140E7" w:rsidRDefault="0091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D7" w:rsidRDefault="00E171D7">
    <w:pPr>
      <w:pStyle w:val="Header"/>
    </w:pPr>
  </w:p>
  <w:p w:rsidR="00E171D7" w:rsidRDefault="00E171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E171D7">
      <w:trPr>
        <w:gridAfter w:val="1"/>
        <w:wAfter w:w="27" w:type="dxa"/>
        <w:cantSplit/>
        <w:trHeight w:hRule="exact" w:val="900"/>
      </w:trPr>
      <w:tc>
        <w:tcPr>
          <w:tcW w:w="2610" w:type="dxa"/>
        </w:tcPr>
        <w:p w:rsidR="00E171D7" w:rsidRDefault="009A0C28">
          <w:pPr>
            <w:pStyle w:val="xHdrLogo"/>
          </w:pPr>
          <w:r>
            <w:rPr>
              <w:noProof/>
              <w:lang w:val="en-GB" w:eastAsia="en-GB"/>
            </w:rPr>
            <w:drawing>
              <wp:inline distT="0" distB="0" distL="0" distR="0">
                <wp:extent cx="1647825" cy="400050"/>
                <wp:effectExtent l="19050" t="0" r="9525"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47825" cy="400050"/>
                        </a:xfrm>
                        <a:prstGeom prst="rect">
                          <a:avLst/>
                        </a:prstGeom>
                        <a:noFill/>
                        <a:ln w="9525">
                          <a:noFill/>
                          <a:miter lim="800000"/>
                          <a:headEnd/>
                          <a:tailEnd/>
                        </a:ln>
                      </pic:spPr>
                    </pic:pic>
                  </a:graphicData>
                </a:graphic>
              </wp:inline>
            </w:drawing>
          </w:r>
        </w:p>
      </w:tc>
      <w:tc>
        <w:tcPr>
          <w:tcW w:w="900" w:type="dxa"/>
        </w:tcPr>
        <w:p w:rsidR="00E171D7" w:rsidRDefault="00E171D7"/>
      </w:tc>
      <w:tc>
        <w:tcPr>
          <w:tcW w:w="165" w:type="dxa"/>
          <w:tcBorders>
            <w:bottom w:val="single" w:sz="6" w:space="0" w:color="auto"/>
            <w:right w:val="single" w:sz="6" w:space="0" w:color="auto"/>
          </w:tcBorders>
        </w:tcPr>
        <w:p w:rsidR="00E171D7" w:rsidRDefault="00E171D7"/>
      </w:tc>
      <w:tc>
        <w:tcPr>
          <w:tcW w:w="6675" w:type="dxa"/>
          <w:tcBorders>
            <w:left w:val="single" w:sz="6" w:space="0" w:color="auto"/>
          </w:tcBorders>
        </w:tcPr>
        <w:p w:rsidR="00E171D7" w:rsidRDefault="00AE1461">
          <w:pPr>
            <w:pStyle w:val="xHdrServiceName"/>
          </w:pPr>
          <w:r>
            <w:rPr>
              <w:sz w:val="72"/>
            </w:rPr>
            <w:fldChar w:fldCharType="begin"/>
          </w:r>
          <w:r w:rsidR="00E171D7">
            <w:rPr>
              <w:sz w:val="72"/>
            </w:rPr>
            <w:instrText xml:space="preserve"> MACROBUTTON DocumentSetup </w:instrText>
          </w:r>
          <w:r>
            <w:rPr>
              <w:sz w:val="72"/>
            </w:rPr>
            <w:fldChar w:fldCharType="begin"/>
          </w:r>
          <w:r w:rsidR="00E171D7">
            <w:rPr>
              <w:sz w:val="72"/>
            </w:rPr>
            <w:instrText xml:space="preserve"> DOCPROPERTY SubTypeDesc </w:instrText>
          </w:r>
          <w:r>
            <w:rPr>
              <w:sz w:val="72"/>
            </w:rPr>
            <w:fldChar w:fldCharType="separate"/>
          </w:r>
          <w:r w:rsidR="00E171D7">
            <w:rPr>
              <w:sz w:val="72"/>
            </w:rPr>
            <w:instrText>Press Release</w:instrText>
          </w:r>
          <w:r>
            <w:rPr>
              <w:sz w:val="72"/>
            </w:rPr>
            <w:fldChar w:fldCharType="end"/>
          </w:r>
          <w:r>
            <w:rPr>
              <w:sz w:val="72"/>
            </w:rPr>
            <w:fldChar w:fldCharType="end"/>
          </w:r>
        </w:p>
      </w:tc>
    </w:tr>
    <w:tr w:rsidR="00E171D7">
      <w:trPr>
        <w:cantSplit/>
      </w:trPr>
      <w:tc>
        <w:tcPr>
          <w:tcW w:w="3510" w:type="dxa"/>
          <w:gridSpan w:val="2"/>
        </w:tcPr>
        <w:p w:rsidR="00E171D7" w:rsidRDefault="00E171D7">
          <w:pPr>
            <w:spacing w:before="60" w:after="60"/>
            <w:ind w:left="1080"/>
          </w:pPr>
        </w:p>
      </w:tc>
      <w:tc>
        <w:tcPr>
          <w:tcW w:w="165" w:type="dxa"/>
        </w:tcPr>
        <w:p w:rsidR="00E171D7" w:rsidRDefault="00E171D7">
          <w:pPr>
            <w:spacing w:before="60" w:after="60"/>
            <w:ind w:left="1080"/>
            <w:rPr>
              <w:b/>
            </w:rPr>
          </w:pPr>
        </w:p>
      </w:tc>
      <w:tc>
        <w:tcPr>
          <w:tcW w:w="6702" w:type="dxa"/>
          <w:gridSpan w:val="2"/>
        </w:tcPr>
        <w:p w:rsidR="00E171D7" w:rsidRDefault="00E171D7"/>
      </w:tc>
    </w:tr>
  </w:tbl>
  <w:p w:rsidR="00E171D7" w:rsidRDefault="00E17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2">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
    <w:docVar w:name="Summary" w:val=""/>
  </w:docVars>
  <w:rsids>
    <w:rsidRoot w:val="0045312A"/>
    <w:rsid w:val="00001D3A"/>
    <w:rsid w:val="00004185"/>
    <w:rsid w:val="00007897"/>
    <w:rsid w:val="00017600"/>
    <w:rsid w:val="0003271C"/>
    <w:rsid w:val="0003566C"/>
    <w:rsid w:val="0004358D"/>
    <w:rsid w:val="00047A61"/>
    <w:rsid w:val="000516E8"/>
    <w:rsid w:val="00052B1A"/>
    <w:rsid w:val="00053F49"/>
    <w:rsid w:val="00060675"/>
    <w:rsid w:val="00061BD7"/>
    <w:rsid w:val="00062EA5"/>
    <w:rsid w:val="0006463E"/>
    <w:rsid w:val="00071DC7"/>
    <w:rsid w:val="00076FB4"/>
    <w:rsid w:val="00077645"/>
    <w:rsid w:val="00081CB7"/>
    <w:rsid w:val="00084A8B"/>
    <w:rsid w:val="00086A16"/>
    <w:rsid w:val="000906E6"/>
    <w:rsid w:val="000910F5"/>
    <w:rsid w:val="000916BC"/>
    <w:rsid w:val="000A5A17"/>
    <w:rsid w:val="000A7206"/>
    <w:rsid w:val="000B222E"/>
    <w:rsid w:val="000C3580"/>
    <w:rsid w:val="000C52A3"/>
    <w:rsid w:val="000C7415"/>
    <w:rsid w:val="000E0108"/>
    <w:rsid w:val="000E0A2B"/>
    <w:rsid w:val="00103A8D"/>
    <w:rsid w:val="00105F79"/>
    <w:rsid w:val="00106503"/>
    <w:rsid w:val="00120E4C"/>
    <w:rsid w:val="00127650"/>
    <w:rsid w:val="00142CBF"/>
    <w:rsid w:val="00146DB2"/>
    <w:rsid w:val="00151572"/>
    <w:rsid w:val="0015794E"/>
    <w:rsid w:val="001603E1"/>
    <w:rsid w:val="00160B8D"/>
    <w:rsid w:val="001666CA"/>
    <w:rsid w:val="00172286"/>
    <w:rsid w:val="00182FB3"/>
    <w:rsid w:val="00184399"/>
    <w:rsid w:val="00192F86"/>
    <w:rsid w:val="00196B03"/>
    <w:rsid w:val="00197EFA"/>
    <w:rsid w:val="001B11D8"/>
    <w:rsid w:val="001C2A4F"/>
    <w:rsid w:val="001D7D41"/>
    <w:rsid w:val="001E22F1"/>
    <w:rsid w:val="001E252E"/>
    <w:rsid w:val="001E673F"/>
    <w:rsid w:val="001F01A2"/>
    <w:rsid w:val="001F230A"/>
    <w:rsid w:val="001F50BD"/>
    <w:rsid w:val="0020066A"/>
    <w:rsid w:val="0020342E"/>
    <w:rsid w:val="00225F0C"/>
    <w:rsid w:val="00235127"/>
    <w:rsid w:val="00242922"/>
    <w:rsid w:val="00242B53"/>
    <w:rsid w:val="00244D59"/>
    <w:rsid w:val="00244F8A"/>
    <w:rsid w:val="00262FE2"/>
    <w:rsid w:val="002674D2"/>
    <w:rsid w:val="002779AE"/>
    <w:rsid w:val="00281BEB"/>
    <w:rsid w:val="00284C4C"/>
    <w:rsid w:val="002868D6"/>
    <w:rsid w:val="00291FBE"/>
    <w:rsid w:val="002A2D5B"/>
    <w:rsid w:val="002A4215"/>
    <w:rsid w:val="002A7650"/>
    <w:rsid w:val="002C4DEF"/>
    <w:rsid w:val="002D0158"/>
    <w:rsid w:val="002D1CBA"/>
    <w:rsid w:val="002D1CC4"/>
    <w:rsid w:val="002D41E1"/>
    <w:rsid w:val="002E4C3E"/>
    <w:rsid w:val="002E61F1"/>
    <w:rsid w:val="0031512C"/>
    <w:rsid w:val="0032094D"/>
    <w:rsid w:val="00322C98"/>
    <w:rsid w:val="00323219"/>
    <w:rsid w:val="00333EDD"/>
    <w:rsid w:val="0034094F"/>
    <w:rsid w:val="003430CA"/>
    <w:rsid w:val="00350BEB"/>
    <w:rsid w:val="00354248"/>
    <w:rsid w:val="00354A8A"/>
    <w:rsid w:val="0035610E"/>
    <w:rsid w:val="00363379"/>
    <w:rsid w:val="0038090C"/>
    <w:rsid w:val="003A5483"/>
    <w:rsid w:val="003B2CB7"/>
    <w:rsid w:val="003B70EE"/>
    <w:rsid w:val="003B7E86"/>
    <w:rsid w:val="003D618B"/>
    <w:rsid w:val="003E2146"/>
    <w:rsid w:val="003E771D"/>
    <w:rsid w:val="003F2E33"/>
    <w:rsid w:val="00403451"/>
    <w:rsid w:val="00410354"/>
    <w:rsid w:val="0042267B"/>
    <w:rsid w:val="004229E7"/>
    <w:rsid w:val="00425391"/>
    <w:rsid w:val="004512D7"/>
    <w:rsid w:val="00452743"/>
    <w:rsid w:val="0045312A"/>
    <w:rsid w:val="00453265"/>
    <w:rsid w:val="00453CE0"/>
    <w:rsid w:val="0045428A"/>
    <w:rsid w:val="00473566"/>
    <w:rsid w:val="00477273"/>
    <w:rsid w:val="00484954"/>
    <w:rsid w:val="00493C6E"/>
    <w:rsid w:val="0049674D"/>
    <w:rsid w:val="004A5DDF"/>
    <w:rsid w:val="004A6BA5"/>
    <w:rsid w:val="004C1770"/>
    <w:rsid w:val="004D1A6A"/>
    <w:rsid w:val="004D4CAE"/>
    <w:rsid w:val="004D5615"/>
    <w:rsid w:val="004F112F"/>
    <w:rsid w:val="005026AF"/>
    <w:rsid w:val="00506C21"/>
    <w:rsid w:val="0051462E"/>
    <w:rsid w:val="00520B96"/>
    <w:rsid w:val="0052652E"/>
    <w:rsid w:val="005324BD"/>
    <w:rsid w:val="00533403"/>
    <w:rsid w:val="00533C74"/>
    <w:rsid w:val="005400B4"/>
    <w:rsid w:val="0054255D"/>
    <w:rsid w:val="00545A37"/>
    <w:rsid w:val="00555219"/>
    <w:rsid w:val="0055762F"/>
    <w:rsid w:val="00562AC7"/>
    <w:rsid w:val="00566E36"/>
    <w:rsid w:val="00574754"/>
    <w:rsid w:val="0058342F"/>
    <w:rsid w:val="00590B16"/>
    <w:rsid w:val="0059415D"/>
    <w:rsid w:val="00594E87"/>
    <w:rsid w:val="005A068F"/>
    <w:rsid w:val="005A125D"/>
    <w:rsid w:val="005C1894"/>
    <w:rsid w:val="005C29E3"/>
    <w:rsid w:val="005C416E"/>
    <w:rsid w:val="005C647D"/>
    <w:rsid w:val="005D3941"/>
    <w:rsid w:val="005D7A79"/>
    <w:rsid w:val="005E2598"/>
    <w:rsid w:val="005E3346"/>
    <w:rsid w:val="005E430C"/>
    <w:rsid w:val="005E531B"/>
    <w:rsid w:val="005E6C41"/>
    <w:rsid w:val="005F7544"/>
    <w:rsid w:val="00612ADB"/>
    <w:rsid w:val="00616A8F"/>
    <w:rsid w:val="00617E9A"/>
    <w:rsid w:val="00624C89"/>
    <w:rsid w:val="00630AF5"/>
    <w:rsid w:val="006311F8"/>
    <w:rsid w:val="006342B5"/>
    <w:rsid w:val="00637D49"/>
    <w:rsid w:val="00640F2C"/>
    <w:rsid w:val="00646974"/>
    <w:rsid w:val="00651906"/>
    <w:rsid w:val="00661659"/>
    <w:rsid w:val="006627DE"/>
    <w:rsid w:val="00665E11"/>
    <w:rsid w:val="00670DE7"/>
    <w:rsid w:val="006802C8"/>
    <w:rsid w:val="00690D2B"/>
    <w:rsid w:val="00694D9F"/>
    <w:rsid w:val="00696BF5"/>
    <w:rsid w:val="006A0C74"/>
    <w:rsid w:val="006A2E61"/>
    <w:rsid w:val="006D011D"/>
    <w:rsid w:val="006D653E"/>
    <w:rsid w:val="006E0E89"/>
    <w:rsid w:val="006E4B46"/>
    <w:rsid w:val="006F4AAD"/>
    <w:rsid w:val="006F5603"/>
    <w:rsid w:val="007013EF"/>
    <w:rsid w:val="007070B5"/>
    <w:rsid w:val="00717291"/>
    <w:rsid w:val="00723D16"/>
    <w:rsid w:val="00724926"/>
    <w:rsid w:val="0073003C"/>
    <w:rsid w:val="0073285F"/>
    <w:rsid w:val="00735965"/>
    <w:rsid w:val="00737D54"/>
    <w:rsid w:val="0074331F"/>
    <w:rsid w:val="00751F74"/>
    <w:rsid w:val="00756487"/>
    <w:rsid w:val="0077054B"/>
    <w:rsid w:val="00775B32"/>
    <w:rsid w:val="0078196B"/>
    <w:rsid w:val="007839B2"/>
    <w:rsid w:val="007877B1"/>
    <w:rsid w:val="00793D90"/>
    <w:rsid w:val="007B04C8"/>
    <w:rsid w:val="007B1733"/>
    <w:rsid w:val="007C0F9D"/>
    <w:rsid w:val="007D1AF1"/>
    <w:rsid w:val="007E1854"/>
    <w:rsid w:val="007F3B0A"/>
    <w:rsid w:val="00817B6C"/>
    <w:rsid w:val="00831A64"/>
    <w:rsid w:val="00835D69"/>
    <w:rsid w:val="00836AA1"/>
    <w:rsid w:val="008405DE"/>
    <w:rsid w:val="00845FD4"/>
    <w:rsid w:val="00846039"/>
    <w:rsid w:val="00853605"/>
    <w:rsid w:val="00854464"/>
    <w:rsid w:val="008574A1"/>
    <w:rsid w:val="00860424"/>
    <w:rsid w:val="008730A9"/>
    <w:rsid w:val="0087707D"/>
    <w:rsid w:val="008775F8"/>
    <w:rsid w:val="00883174"/>
    <w:rsid w:val="008A0C15"/>
    <w:rsid w:val="008B43FB"/>
    <w:rsid w:val="008B4846"/>
    <w:rsid w:val="008B731B"/>
    <w:rsid w:val="008B75BC"/>
    <w:rsid w:val="008C180A"/>
    <w:rsid w:val="008C2A88"/>
    <w:rsid w:val="008C5234"/>
    <w:rsid w:val="008D0143"/>
    <w:rsid w:val="008D03A0"/>
    <w:rsid w:val="00904F52"/>
    <w:rsid w:val="00912754"/>
    <w:rsid w:val="009140E7"/>
    <w:rsid w:val="00917735"/>
    <w:rsid w:val="00920676"/>
    <w:rsid w:val="0092700A"/>
    <w:rsid w:val="009270F2"/>
    <w:rsid w:val="0093530D"/>
    <w:rsid w:val="00936A2A"/>
    <w:rsid w:val="00937A6A"/>
    <w:rsid w:val="00950350"/>
    <w:rsid w:val="0095055D"/>
    <w:rsid w:val="00953842"/>
    <w:rsid w:val="00967347"/>
    <w:rsid w:val="00972147"/>
    <w:rsid w:val="009723DD"/>
    <w:rsid w:val="00977586"/>
    <w:rsid w:val="009858CB"/>
    <w:rsid w:val="009920DD"/>
    <w:rsid w:val="00994221"/>
    <w:rsid w:val="00994CB4"/>
    <w:rsid w:val="009967EB"/>
    <w:rsid w:val="009A0C28"/>
    <w:rsid w:val="009A517E"/>
    <w:rsid w:val="009A685E"/>
    <w:rsid w:val="009C0274"/>
    <w:rsid w:val="009C612C"/>
    <w:rsid w:val="009F1672"/>
    <w:rsid w:val="009F3EE3"/>
    <w:rsid w:val="00A04043"/>
    <w:rsid w:val="00A04470"/>
    <w:rsid w:val="00A07F83"/>
    <w:rsid w:val="00A10F3F"/>
    <w:rsid w:val="00A11829"/>
    <w:rsid w:val="00A1715C"/>
    <w:rsid w:val="00A26143"/>
    <w:rsid w:val="00A3010D"/>
    <w:rsid w:val="00A52E1D"/>
    <w:rsid w:val="00A55243"/>
    <w:rsid w:val="00A57AA7"/>
    <w:rsid w:val="00A67926"/>
    <w:rsid w:val="00A70366"/>
    <w:rsid w:val="00A81BAF"/>
    <w:rsid w:val="00A84733"/>
    <w:rsid w:val="00A87DA9"/>
    <w:rsid w:val="00A95AEE"/>
    <w:rsid w:val="00A97A55"/>
    <w:rsid w:val="00A97B6C"/>
    <w:rsid w:val="00AA1928"/>
    <w:rsid w:val="00AA7052"/>
    <w:rsid w:val="00AA7510"/>
    <w:rsid w:val="00AB58E1"/>
    <w:rsid w:val="00AB5B37"/>
    <w:rsid w:val="00AC6B58"/>
    <w:rsid w:val="00AD477F"/>
    <w:rsid w:val="00AD5962"/>
    <w:rsid w:val="00AE1461"/>
    <w:rsid w:val="00AF2007"/>
    <w:rsid w:val="00AF453A"/>
    <w:rsid w:val="00B00634"/>
    <w:rsid w:val="00B1031A"/>
    <w:rsid w:val="00B11548"/>
    <w:rsid w:val="00B14F0D"/>
    <w:rsid w:val="00B15D78"/>
    <w:rsid w:val="00B240F8"/>
    <w:rsid w:val="00B43332"/>
    <w:rsid w:val="00B47EBC"/>
    <w:rsid w:val="00B54CED"/>
    <w:rsid w:val="00B5695C"/>
    <w:rsid w:val="00B64690"/>
    <w:rsid w:val="00B67027"/>
    <w:rsid w:val="00B80B07"/>
    <w:rsid w:val="00B80EA0"/>
    <w:rsid w:val="00B8766E"/>
    <w:rsid w:val="00B9438B"/>
    <w:rsid w:val="00B968AB"/>
    <w:rsid w:val="00BA20CA"/>
    <w:rsid w:val="00BA51C6"/>
    <w:rsid w:val="00BC0972"/>
    <w:rsid w:val="00BC41A6"/>
    <w:rsid w:val="00BC7407"/>
    <w:rsid w:val="00BC78B8"/>
    <w:rsid w:val="00BD442B"/>
    <w:rsid w:val="00BD4DC0"/>
    <w:rsid w:val="00BE6219"/>
    <w:rsid w:val="00BE7F0D"/>
    <w:rsid w:val="00BF2DE2"/>
    <w:rsid w:val="00BF719B"/>
    <w:rsid w:val="00C0629A"/>
    <w:rsid w:val="00C276EC"/>
    <w:rsid w:val="00C27B93"/>
    <w:rsid w:val="00C50B46"/>
    <w:rsid w:val="00C53FE1"/>
    <w:rsid w:val="00C559F8"/>
    <w:rsid w:val="00C55A8F"/>
    <w:rsid w:val="00C56860"/>
    <w:rsid w:val="00C64343"/>
    <w:rsid w:val="00C649C4"/>
    <w:rsid w:val="00C64E87"/>
    <w:rsid w:val="00C7445D"/>
    <w:rsid w:val="00C84CC0"/>
    <w:rsid w:val="00C941DB"/>
    <w:rsid w:val="00C9429A"/>
    <w:rsid w:val="00CA6A21"/>
    <w:rsid w:val="00CB69F5"/>
    <w:rsid w:val="00CB7A36"/>
    <w:rsid w:val="00CD1CE7"/>
    <w:rsid w:val="00CD1E8A"/>
    <w:rsid w:val="00CE4335"/>
    <w:rsid w:val="00CE43AB"/>
    <w:rsid w:val="00CE757B"/>
    <w:rsid w:val="00CF314A"/>
    <w:rsid w:val="00CF4CF0"/>
    <w:rsid w:val="00D21131"/>
    <w:rsid w:val="00D43C17"/>
    <w:rsid w:val="00D4671E"/>
    <w:rsid w:val="00D52654"/>
    <w:rsid w:val="00D55DED"/>
    <w:rsid w:val="00D576EE"/>
    <w:rsid w:val="00D62636"/>
    <w:rsid w:val="00D7028B"/>
    <w:rsid w:val="00D730BF"/>
    <w:rsid w:val="00D7492B"/>
    <w:rsid w:val="00D76990"/>
    <w:rsid w:val="00D8314F"/>
    <w:rsid w:val="00D86639"/>
    <w:rsid w:val="00D91454"/>
    <w:rsid w:val="00DA1C9C"/>
    <w:rsid w:val="00DA4ED1"/>
    <w:rsid w:val="00DB63C0"/>
    <w:rsid w:val="00DC4118"/>
    <w:rsid w:val="00DC6466"/>
    <w:rsid w:val="00DE3A15"/>
    <w:rsid w:val="00DE4D17"/>
    <w:rsid w:val="00DF3F5A"/>
    <w:rsid w:val="00E049FB"/>
    <w:rsid w:val="00E16C89"/>
    <w:rsid w:val="00E171D7"/>
    <w:rsid w:val="00E23B10"/>
    <w:rsid w:val="00E315B2"/>
    <w:rsid w:val="00E337B0"/>
    <w:rsid w:val="00E3568B"/>
    <w:rsid w:val="00E45FA4"/>
    <w:rsid w:val="00E57ED7"/>
    <w:rsid w:val="00E61481"/>
    <w:rsid w:val="00E61FA0"/>
    <w:rsid w:val="00E62180"/>
    <w:rsid w:val="00E63C56"/>
    <w:rsid w:val="00E74084"/>
    <w:rsid w:val="00E75F8B"/>
    <w:rsid w:val="00E77AF7"/>
    <w:rsid w:val="00E912EC"/>
    <w:rsid w:val="00E91655"/>
    <w:rsid w:val="00E96555"/>
    <w:rsid w:val="00EA2F97"/>
    <w:rsid w:val="00EA3074"/>
    <w:rsid w:val="00EA4894"/>
    <w:rsid w:val="00EB4025"/>
    <w:rsid w:val="00EB72A3"/>
    <w:rsid w:val="00EC0FC0"/>
    <w:rsid w:val="00F03DB4"/>
    <w:rsid w:val="00F10A34"/>
    <w:rsid w:val="00F131C7"/>
    <w:rsid w:val="00F21E98"/>
    <w:rsid w:val="00F22A61"/>
    <w:rsid w:val="00F27839"/>
    <w:rsid w:val="00F3147E"/>
    <w:rsid w:val="00F35A36"/>
    <w:rsid w:val="00F40463"/>
    <w:rsid w:val="00F42105"/>
    <w:rsid w:val="00F43924"/>
    <w:rsid w:val="00F562F6"/>
    <w:rsid w:val="00F60A0D"/>
    <w:rsid w:val="00F713F6"/>
    <w:rsid w:val="00F86896"/>
    <w:rsid w:val="00F92DE2"/>
    <w:rsid w:val="00FA53B0"/>
    <w:rsid w:val="00FC0BFF"/>
    <w:rsid w:val="00FC1BE7"/>
    <w:rsid w:val="00FC46F2"/>
    <w:rsid w:val="00FE02B4"/>
    <w:rsid w:val="00FF4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BEB"/>
    <w:pPr>
      <w:jc w:val="both"/>
    </w:pPr>
    <w:rPr>
      <w:rFonts w:ascii="Arial" w:hAnsi="Arial"/>
    </w:rPr>
  </w:style>
  <w:style w:type="paragraph" w:styleId="Heading1">
    <w:name w:val="heading 1"/>
    <w:basedOn w:val="Normal"/>
    <w:next w:val="Normal"/>
    <w:qFormat/>
    <w:rsid w:val="00281BEB"/>
    <w:pPr>
      <w:keepNext/>
      <w:spacing w:before="240" w:after="60"/>
      <w:outlineLvl w:val="0"/>
    </w:pPr>
    <w:rPr>
      <w:b/>
      <w:kern w:val="28"/>
      <w:sz w:val="28"/>
    </w:rPr>
  </w:style>
  <w:style w:type="paragraph" w:styleId="Heading2">
    <w:name w:val="heading 2"/>
    <w:basedOn w:val="Normal"/>
    <w:next w:val="Normal"/>
    <w:qFormat/>
    <w:rsid w:val="00281BEB"/>
    <w:pPr>
      <w:keepNext/>
      <w:spacing w:before="360" w:after="60" w:line="280" w:lineRule="atLeast"/>
      <w:outlineLvl w:val="1"/>
    </w:pPr>
    <w:rPr>
      <w:b/>
      <w:sz w:val="24"/>
    </w:rPr>
  </w:style>
  <w:style w:type="paragraph" w:styleId="Heading3">
    <w:name w:val="heading 3"/>
    <w:basedOn w:val="Normal"/>
    <w:next w:val="Normal"/>
    <w:qFormat/>
    <w:rsid w:val="00281BEB"/>
    <w:pPr>
      <w:keepNext/>
      <w:spacing w:before="240" w:after="60"/>
      <w:outlineLvl w:val="2"/>
    </w:pPr>
    <w:rPr>
      <w:sz w:val="24"/>
    </w:rPr>
  </w:style>
  <w:style w:type="paragraph" w:styleId="Heading4">
    <w:name w:val="heading 4"/>
    <w:basedOn w:val="Normal"/>
    <w:next w:val="Normal"/>
    <w:qFormat/>
    <w:rsid w:val="00281BEB"/>
    <w:pPr>
      <w:keepNext/>
      <w:jc w:val="center"/>
      <w:outlineLvl w:val="3"/>
    </w:pPr>
    <w:rPr>
      <w:b/>
      <w:sz w:val="24"/>
    </w:rPr>
  </w:style>
  <w:style w:type="paragraph" w:styleId="Heading5">
    <w:name w:val="heading 5"/>
    <w:basedOn w:val="Normal"/>
    <w:next w:val="Normal"/>
    <w:qFormat/>
    <w:rsid w:val="00281BEB"/>
    <w:pPr>
      <w:keepNext/>
      <w:jc w:val="center"/>
      <w:outlineLvl w:val="4"/>
    </w:pPr>
    <w:rPr>
      <w:i/>
      <w:sz w:val="24"/>
    </w:rPr>
  </w:style>
  <w:style w:type="paragraph" w:styleId="Heading6">
    <w:name w:val="heading 6"/>
    <w:basedOn w:val="Normal"/>
    <w:next w:val="Normal"/>
    <w:qFormat/>
    <w:rsid w:val="00281BEB"/>
    <w:pPr>
      <w:keepNext/>
      <w:jc w:val="left"/>
      <w:outlineLvl w:val="5"/>
    </w:pPr>
    <w:rPr>
      <w:b/>
      <w:snapToGrid w:val="0"/>
      <w:color w:val="0000FF"/>
      <w:sz w:val="22"/>
    </w:rPr>
  </w:style>
  <w:style w:type="paragraph" w:styleId="Heading7">
    <w:name w:val="heading 7"/>
    <w:basedOn w:val="Normal"/>
    <w:next w:val="Normal"/>
    <w:qFormat/>
    <w:rsid w:val="00281BEB"/>
    <w:pPr>
      <w:keepNext/>
      <w:spacing w:after="120"/>
      <w:jc w:val="center"/>
      <w:outlineLvl w:val="6"/>
    </w:pPr>
    <w:rPr>
      <w:b/>
      <w:i/>
      <w:color w:val="000000"/>
      <w:sz w:val="22"/>
    </w:rPr>
  </w:style>
  <w:style w:type="paragraph" w:styleId="Heading8">
    <w:name w:val="heading 8"/>
    <w:basedOn w:val="Normal"/>
    <w:next w:val="Normal"/>
    <w:qFormat/>
    <w:rsid w:val="00281BEB"/>
    <w:pPr>
      <w:keepNext/>
      <w:jc w:val="left"/>
      <w:outlineLvl w:val="7"/>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BEB"/>
    <w:pPr>
      <w:tabs>
        <w:tab w:val="center" w:pos="4320"/>
        <w:tab w:val="right" w:pos="8640"/>
      </w:tabs>
    </w:pPr>
  </w:style>
  <w:style w:type="paragraph" w:styleId="Footer">
    <w:name w:val="footer"/>
    <w:basedOn w:val="Normal"/>
    <w:rsid w:val="00281BEB"/>
    <w:pPr>
      <w:tabs>
        <w:tab w:val="center" w:pos="4320"/>
        <w:tab w:val="right" w:pos="8640"/>
      </w:tabs>
    </w:pPr>
  </w:style>
  <w:style w:type="paragraph" w:customStyle="1" w:styleId="Text">
    <w:name w:val="_Text"/>
    <w:basedOn w:val="Normal"/>
    <w:rsid w:val="00281BEB"/>
  </w:style>
  <w:style w:type="character" w:styleId="PageNumber">
    <w:name w:val="page number"/>
    <w:basedOn w:val="DefaultParagraphFont"/>
    <w:rsid w:val="00281BEB"/>
  </w:style>
  <w:style w:type="paragraph" w:customStyle="1" w:styleId="xFtrLogo">
    <w:name w:val="x_FtrLogo"/>
    <w:basedOn w:val="Normal"/>
    <w:rsid w:val="00281BEB"/>
    <w:pPr>
      <w:spacing w:before="60"/>
    </w:pPr>
  </w:style>
  <w:style w:type="paragraph" w:customStyle="1" w:styleId="xHdrLogo">
    <w:name w:val="x_HdrLogo"/>
    <w:basedOn w:val="Normal"/>
    <w:rsid w:val="00281BEB"/>
    <w:pPr>
      <w:spacing w:before="120"/>
    </w:pPr>
  </w:style>
  <w:style w:type="paragraph" w:customStyle="1" w:styleId="xHdrServiceName">
    <w:name w:val="x_HdrServiceName"/>
    <w:basedOn w:val="Normal"/>
    <w:rsid w:val="00281BEB"/>
    <w:pPr>
      <w:spacing w:before="120"/>
      <w:ind w:left="216"/>
      <w:jc w:val="right"/>
    </w:pPr>
    <w:rPr>
      <w:b/>
      <w:sz w:val="28"/>
    </w:rPr>
  </w:style>
  <w:style w:type="paragraph" w:customStyle="1" w:styleId="date">
    <w:name w:val="date"/>
    <w:basedOn w:val="Heading3"/>
    <w:rsid w:val="00281BEB"/>
    <w:pPr>
      <w:keepNext w:val="0"/>
      <w:spacing w:before="40" w:after="20"/>
      <w:ind w:right="57"/>
      <w:jc w:val="right"/>
      <w:outlineLvl w:val="9"/>
    </w:pPr>
    <w:rPr>
      <w:b/>
      <w:i/>
      <w:sz w:val="18"/>
    </w:rPr>
  </w:style>
  <w:style w:type="paragraph" w:customStyle="1" w:styleId="Subtitle">
    <w:name w:val="_Subtitle"/>
    <w:basedOn w:val="Normal"/>
    <w:next w:val="Normal"/>
    <w:rsid w:val="00281BEB"/>
    <w:pPr>
      <w:jc w:val="center"/>
    </w:pPr>
    <w:rPr>
      <w:b/>
      <w:sz w:val="22"/>
    </w:rPr>
  </w:style>
  <w:style w:type="paragraph" w:customStyle="1" w:styleId="HeadingJustified">
    <w:name w:val="_HeadingJustified"/>
    <w:basedOn w:val="Normal"/>
    <w:next w:val="Normal"/>
    <w:rsid w:val="00281BEB"/>
    <w:rPr>
      <w:b/>
    </w:rPr>
  </w:style>
  <w:style w:type="paragraph" w:styleId="BodyText2">
    <w:name w:val="Body Text 2"/>
    <w:basedOn w:val="Normal"/>
    <w:rsid w:val="00281BEB"/>
    <w:pPr>
      <w:widowControl w:val="0"/>
      <w:ind w:right="842"/>
    </w:pPr>
    <w:rPr>
      <w:rFonts w:ascii="Bookman Old Style" w:hAnsi="Bookman Old Style"/>
    </w:rPr>
  </w:style>
  <w:style w:type="paragraph" w:customStyle="1" w:styleId="TextJustified">
    <w:name w:val="_TextJustified"/>
    <w:basedOn w:val="Normal"/>
    <w:rsid w:val="00281BEB"/>
    <w:pPr>
      <w:ind w:right="1080"/>
    </w:pPr>
  </w:style>
  <w:style w:type="paragraph" w:customStyle="1" w:styleId="Title">
    <w:name w:val="_Title"/>
    <w:basedOn w:val="Heading1"/>
    <w:rsid w:val="00281BEB"/>
    <w:pPr>
      <w:spacing w:before="60" w:after="360"/>
      <w:jc w:val="center"/>
      <w:outlineLvl w:val="9"/>
    </w:pPr>
  </w:style>
  <w:style w:type="paragraph" w:styleId="BodyText">
    <w:name w:val="Body Text"/>
    <w:basedOn w:val="Normal"/>
    <w:link w:val="BodyTextChar"/>
    <w:rsid w:val="00281BEB"/>
    <w:pPr>
      <w:widowControl w:val="0"/>
      <w:spacing w:after="120" w:line="360" w:lineRule="auto"/>
      <w:jc w:val="left"/>
    </w:pPr>
    <w:rPr>
      <w:snapToGrid w:val="0"/>
      <w:sz w:val="22"/>
    </w:rPr>
  </w:style>
  <w:style w:type="character" w:styleId="Hyperlink">
    <w:name w:val="Hyperlink"/>
    <w:basedOn w:val="DefaultParagraphFont"/>
    <w:rsid w:val="00281BEB"/>
    <w:rPr>
      <w:color w:val="0000FF"/>
      <w:u w:val="single"/>
    </w:rPr>
  </w:style>
  <w:style w:type="paragraph" w:styleId="Title0">
    <w:name w:val="Title"/>
    <w:basedOn w:val="Normal"/>
    <w:qFormat/>
    <w:rsid w:val="00281BEB"/>
    <w:pPr>
      <w:jc w:val="center"/>
    </w:pPr>
    <w:rPr>
      <w:rFonts w:ascii="Times New Roman" w:hAnsi="Times New Roman"/>
      <w:b/>
      <w:sz w:val="28"/>
    </w:rPr>
  </w:style>
  <w:style w:type="paragraph" w:styleId="BodyText3">
    <w:name w:val="Body Text 3"/>
    <w:basedOn w:val="Normal"/>
    <w:rsid w:val="00281BEB"/>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281BEB"/>
    <w:pPr>
      <w:widowControl w:val="0"/>
      <w:tabs>
        <w:tab w:val="right" w:pos="9180"/>
      </w:tabs>
      <w:jc w:val="left"/>
    </w:pPr>
    <w:rPr>
      <w:rFonts w:ascii="Palatino" w:hAnsi="Palatino"/>
      <w:sz w:val="22"/>
    </w:rPr>
  </w:style>
  <w:style w:type="character" w:styleId="FollowedHyperlink">
    <w:name w:val="FollowedHyperlink"/>
    <w:basedOn w:val="DefaultParagraphFont"/>
    <w:rsid w:val="00281BEB"/>
    <w:rPr>
      <w:color w:val="800080"/>
      <w:u w:val="single"/>
    </w:rPr>
  </w:style>
  <w:style w:type="paragraph" w:customStyle="1" w:styleId="bullet1">
    <w:name w:val="bullet 1"/>
    <w:basedOn w:val="Normal"/>
    <w:rsid w:val="00281BEB"/>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281BEB"/>
    <w:pPr>
      <w:keepNext/>
      <w:spacing w:before="60" w:line="200" w:lineRule="atLeast"/>
      <w:jc w:val="right"/>
    </w:pPr>
    <w:rPr>
      <w:rFonts w:ascii="Palatino" w:hAnsi="Palatino"/>
      <w:b/>
      <w:sz w:val="16"/>
    </w:rPr>
  </w:style>
  <w:style w:type="paragraph" w:customStyle="1" w:styleId="cellbodyL">
    <w:name w:val="cellbodyL"/>
    <w:basedOn w:val="Normal"/>
    <w:rsid w:val="00281BEB"/>
    <w:pPr>
      <w:keepNext/>
      <w:spacing w:before="60" w:line="200" w:lineRule="atLeast"/>
      <w:jc w:val="left"/>
    </w:pPr>
    <w:rPr>
      <w:rFonts w:ascii="Palatino" w:hAnsi="Palatino"/>
      <w:sz w:val="16"/>
    </w:rPr>
  </w:style>
  <w:style w:type="paragraph" w:customStyle="1" w:styleId="1tabletitle">
    <w:name w:val="1table_title"/>
    <w:basedOn w:val="Normal"/>
    <w:rsid w:val="00281BEB"/>
    <w:pPr>
      <w:keepNext/>
      <w:spacing w:after="60" w:line="200" w:lineRule="atLeast"/>
      <w:jc w:val="left"/>
    </w:pPr>
    <w:rPr>
      <w:rFonts w:ascii="Palatino" w:hAnsi="Palatino"/>
      <w:b/>
      <w:sz w:val="24"/>
    </w:rPr>
  </w:style>
  <w:style w:type="paragraph" w:customStyle="1" w:styleId="TableFootnote">
    <w:name w:val="TableFootnote"/>
    <w:basedOn w:val="Normal"/>
    <w:next w:val="Normal"/>
    <w:rsid w:val="00281BEB"/>
    <w:pPr>
      <w:spacing w:after="360" w:line="200" w:lineRule="atLeast"/>
      <w:jc w:val="left"/>
    </w:pPr>
    <w:rPr>
      <w:rFonts w:ascii="Helvetica" w:hAnsi="Helvetica"/>
      <w:sz w:val="16"/>
    </w:rPr>
  </w:style>
  <w:style w:type="paragraph" w:styleId="BalloonText">
    <w:name w:val="Balloon Text"/>
    <w:basedOn w:val="Normal"/>
    <w:semiHidden/>
    <w:rsid w:val="00281BEB"/>
    <w:rPr>
      <w:rFonts w:ascii="Tahoma" w:hAnsi="Tahoma" w:cs="Tahoma"/>
      <w:sz w:val="16"/>
      <w:szCs w:val="16"/>
    </w:rPr>
  </w:style>
  <w:style w:type="paragraph" w:customStyle="1" w:styleId="cellbodyR">
    <w:name w:val="cellbodyR"/>
    <w:basedOn w:val="cellbodyL"/>
    <w:rsid w:val="00281BEB"/>
    <w:pPr>
      <w:jc w:val="right"/>
    </w:pPr>
    <w:rPr>
      <w:lang w:eastAsia="ko-KR"/>
    </w:rPr>
  </w:style>
  <w:style w:type="paragraph" w:styleId="NormalWeb">
    <w:name w:val="Normal (Web)"/>
    <w:basedOn w:val="Normal"/>
    <w:rsid w:val="00646974"/>
    <w:pPr>
      <w:spacing w:before="100" w:beforeAutospacing="1" w:after="100" w:afterAutospacing="1"/>
      <w:jc w:val="left"/>
    </w:pPr>
    <w:rPr>
      <w:rFonts w:ascii="Times New Roman" w:hAnsi="Times New Roman"/>
      <w:sz w:val="24"/>
      <w:szCs w:val="24"/>
    </w:rPr>
  </w:style>
  <w:style w:type="character" w:customStyle="1" w:styleId="EmailStyle421">
    <w:name w:val="EmailStyle42"/>
    <w:aliases w:val="EmailStyle42"/>
    <w:basedOn w:val="DefaultParagraphFont"/>
    <w:semiHidden/>
    <w:personal/>
    <w:personalCompose/>
    <w:rsid w:val="005F7544"/>
    <w:rPr>
      <w:rFonts w:ascii="Comic Sans MS" w:hAnsi="Comic Sans MS"/>
      <w:b w:val="0"/>
      <w:bCs w:val="0"/>
      <w:i w:val="0"/>
      <w:iCs w:val="0"/>
      <w:strike w:val="0"/>
      <w:color w:val="0000FF"/>
      <w:sz w:val="20"/>
      <w:szCs w:val="20"/>
      <w:u w:val="none"/>
    </w:rPr>
  </w:style>
  <w:style w:type="paragraph" w:styleId="DocumentMap">
    <w:name w:val="Document Map"/>
    <w:basedOn w:val="Normal"/>
    <w:semiHidden/>
    <w:rsid w:val="00F60A0D"/>
    <w:pPr>
      <w:shd w:val="clear" w:color="auto" w:fill="000080"/>
    </w:pPr>
    <w:rPr>
      <w:rFonts w:ascii="Tahoma" w:hAnsi="Tahoma" w:cs="Tahoma"/>
    </w:rPr>
  </w:style>
  <w:style w:type="character" w:styleId="CommentReference">
    <w:name w:val="annotation reference"/>
    <w:basedOn w:val="DefaultParagraphFont"/>
    <w:rsid w:val="00972147"/>
    <w:rPr>
      <w:sz w:val="16"/>
      <w:szCs w:val="16"/>
    </w:rPr>
  </w:style>
  <w:style w:type="paragraph" w:styleId="CommentText">
    <w:name w:val="annotation text"/>
    <w:basedOn w:val="Normal"/>
    <w:link w:val="CommentTextChar"/>
    <w:rsid w:val="00972147"/>
  </w:style>
  <w:style w:type="character" w:customStyle="1" w:styleId="CommentTextChar">
    <w:name w:val="Comment Text Char"/>
    <w:basedOn w:val="DefaultParagraphFont"/>
    <w:link w:val="CommentText"/>
    <w:rsid w:val="00972147"/>
    <w:rPr>
      <w:rFonts w:ascii="Arial" w:hAnsi="Arial"/>
    </w:rPr>
  </w:style>
  <w:style w:type="paragraph" w:styleId="CommentSubject">
    <w:name w:val="annotation subject"/>
    <w:basedOn w:val="CommentText"/>
    <w:next w:val="CommentText"/>
    <w:link w:val="CommentSubjectChar"/>
    <w:rsid w:val="00972147"/>
    <w:rPr>
      <w:b/>
      <w:bCs/>
    </w:rPr>
  </w:style>
  <w:style w:type="character" w:customStyle="1" w:styleId="CommentSubjectChar">
    <w:name w:val="Comment Subject Char"/>
    <w:basedOn w:val="CommentTextChar"/>
    <w:link w:val="CommentSubject"/>
    <w:rsid w:val="00972147"/>
    <w:rPr>
      <w:b/>
      <w:bCs/>
    </w:rPr>
  </w:style>
  <w:style w:type="character" w:customStyle="1" w:styleId="BodyTextChar">
    <w:name w:val="Body Text Char"/>
    <w:basedOn w:val="DefaultParagraphFont"/>
    <w:link w:val="BodyText"/>
    <w:rsid w:val="005C29E3"/>
    <w:rPr>
      <w:rFonts w:ascii="Arial" w:hAnsi="Arial"/>
      <w:snapToGrid w:val="0"/>
      <w:sz w:val="22"/>
    </w:rPr>
  </w:style>
</w:styles>
</file>

<file path=word/webSettings.xml><?xml version="1.0" encoding="utf-8"?>
<w:webSettings xmlns:r="http://schemas.openxmlformats.org/officeDocument/2006/relationships" xmlns:w="http://schemas.openxmlformats.org/wordprocessingml/2006/main">
  <w:divs>
    <w:div w:id="99112002">
      <w:bodyDiv w:val="1"/>
      <w:marLeft w:val="0"/>
      <w:marRight w:val="0"/>
      <w:marTop w:val="0"/>
      <w:marBottom w:val="0"/>
      <w:divBdr>
        <w:top w:val="none" w:sz="0" w:space="0" w:color="auto"/>
        <w:left w:val="none" w:sz="0" w:space="0" w:color="auto"/>
        <w:bottom w:val="none" w:sz="0" w:space="0" w:color="auto"/>
        <w:right w:val="none" w:sz="0" w:space="0" w:color="auto"/>
      </w:divBdr>
    </w:div>
    <w:div w:id="147602034">
      <w:bodyDiv w:val="1"/>
      <w:marLeft w:val="0"/>
      <w:marRight w:val="0"/>
      <w:marTop w:val="0"/>
      <w:marBottom w:val="0"/>
      <w:divBdr>
        <w:top w:val="none" w:sz="0" w:space="0" w:color="auto"/>
        <w:left w:val="none" w:sz="0" w:space="0" w:color="auto"/>
        <w:bottom w:val="none" w:sz="0" w:space="0" w:color="auto"/>
        <w:right w:val="none" w:sz="0" w:space="0" w:color="auto"/>
      </w:divBdr>
    </w:div>
    <w:div w:id="233130959">
      <w:bodyDiv w:val="1"/>
      <w:marLeft w:val="0"/>
      <w:marRight w:val="0"/>
      <w:marTop w:val="0"/>
      <w:marBottom w:val="0"/>
      <w:divBdr>
        <w:top w:val="none" w:sz="0" w:space="0" w:color="auto"/>
        <w:left w:val="none" w:sz="0" w:space="0" w:color="auto"/>
        <w:bottom w:val="none" w:sz="0" w:space="0" w:color="auto"/>
        <w:right w:val="none" w:sz="0" w:space="0" w:color="auto"/>
      </w:divBdr>
    </w:div>
    <w:div w:id="440956258">
      <w:bodyDiv w:val="1"/>
      <w:marLeft w:val="0"/>
      <w:marRight w:val="0"/>
      <w:marTop w:val="0"/>
      <w:marBottom w:val="0"/>
      <w:divBdr>
        <w:top w:val="none" w:sz="0" w:space="0" w:color="auto"/>
        <w:left w:val="none" w:sz="0" w:space="0" w:color="auto"/>
        <w:bottom w:val="none" w:sz="0" w:space="0" w:color="auto"/>
        <w:right w:val="none" w:sz="0" w:space="0" w:color="auto"/>
      </w:divBdr>
    </w:div>
    <w:div w:id="453796151">
      <w:bodyDiv w:val="1"/>
      <w:marLeft w:val="0"/>
      <w:marRight w:val="0"/>
      <w:marTop w:val="0"/>
      <w:marBottom w:val="0"/>
      <w:divBdr>
        <w:top w:val="none" w:sz="0" w:space="0" w:color="auto"/>
        <w:left w:val="none" w:sz="0" w:space="0" w:color="auto"/>
        <w:bottom w:val="none" w:sz="0" w:space="0" w:color="auto"/>
        <w:right w:val="none" w:sz="0" w:space="0" w:color="auto"/>
      </w:divBdr>
    </w:div>
    <w:div w:id="502939196">
      <w:bodyDiv w:val="1"/>
      <w:marLeft w:val="0"/>
      <w:marRight w:val="0"/>
      <w:marTop w:val="0"/>
      <w:marBottom w:val="0"/>
      <w:divBdr>
        <w:top w:val="none" w:sz="0" w:space="0" w:color="auto"/>
        <w:left w:val="none" w:sz="0" w:space="0" w:color="auto"/>
        <w:bottom w:val="none" w:sz="0" w:space="0" w:color="auto"/>
        <w:right w:val="none" w:sz="0" w:space="0" w:color="auto"/>
      </w:divBdr>
    </w:div>
    <w:div w:id="799802804">
      <w:bodyDiv w:val="1"/>
      <w:marLeft w:val="0"/>
      <w:marRight w:val="0"/>
      <w:marTop w:val="0"/>
      <w:marBottom w:val="0"/>
      <w:divBdr>
        <w:top w:val="none" w:sz="0" w:space="0" w:color="auto"/>
        <w:left w:val="none" w:sz="0" w:space="0" w:color="auto"/>
        <w:bottom w:val="none" w:sz="0" w:space="0" w:color="auto"/>
        <w:right w:val="none" w:sz="0" w:space="0" w:color="auto"/>
      </w:divBdr>
    </w:div>
    <w:div w:id="842550912">
      <w:bodyDiv w:val="1"/>
      <w:marLeft w:val="0"/>
      <w:marRight w:val="0"/>
      <w:marTop w:val="0"/>
      <w:marBottom w:val="0"/>
      <w:divBdr>
        <w:top w:val="none" w:sz="0" w:space="0" w:color="auto"/>
        <w:left w:val="none" w:sz="0" w:space="0" w:color="auto"/>
        <w:bottom w:val="none" w:sz="0" w:space="0" w:color="auto"/>
        <w:right w:val="none" w:sz="0" w:space="0" w:color="auto"/>
      </w:divBdr>
    </w:div>
    <w:div w:id="1193955057">
      <w:bodyDiv w:val="1"/>
      <w:marLeft w:val="0"/>
      <w:marRight w:val="0"/>
      <w:marTop w:val="0"/>
      <w:marBottom w:val="0"/>
      <w:divBdr>
        <w:top w:val="none" w:sz="0" w:space="0" w:color="auto"/>
        <w:left w:val="none" w:sz="0" w:space="0" w:color="auto"/>
        <w:bottom w:val="none" w:sz="0" w:space="0" w:color="auto"/>
        <w:right w:val="none" w:sz="0" w:space="0" w:color="auto"/>
      </w:divBdr>
    </w:div>
    <w:div w:id="1291204110">
      <w:bodyDiv w:val="1"/>
      <w:marLeft w:val="0"/>
      <w:marRight w:val="0"/>
      <w:marTop w:val="0"/>
      <w:marBottom w:val="0"/>
      <w:divBdr>
        <w:top w:val="none" w:sz="0" w:space="0" w:color="auto"/>
        <w:left w:val="none" w:sz="0" w:space="0" w:color="auto"/>
        <w:bottom w:val="none" w:sz="0" w:space="0" w:color="auto"/>
        <w:right w:val="none" w:sz="0" w:space="0" w:color="auto"/>
      </w:divBdr>
      <w:divsChild>
        <w:div w:id="510991850">
          <w:marLeft w:val="0"/>
          <w:marRight w:val="0"/>
          <w:marTop w:val="0"/>
          <w:marBottom w:val="0"/>
          <w:divBdr>
            <w:top w:val="none" w:sz="0" w:space="0" w:color="auto"/>
            <w:left w:val="none" w:sz="0" w:space="0" w:color="auto"/>
            <w:bottom w:val="none" w:sz="0" w:space="0" w:color="auto"/>
            <w:right w:val="none" w:sz="0" w:space="0" w:color="auto"/>
          </w:divBdr>
        </w:div>
        <w:div w:id="775102689">
          <w:marLeft w:val="0"/>
          <w:marRight w:val="0"/>
          <w:marTop w:val="0"/>
          <w:marBottom w:val="0"/>
          <w:divBdr>
            <w:top w:val="none" w:sz="0" w:space="0" w:color="auto"/>
            <w:left w:val="none" w:sz="0" w:space="0" w:color="auto"/>
            <w:bottom w:val="none" w:sz="0" w:space="0" w:color="auto"/>
            <w:right w:val="none" w:sz="0" w:space="0" w:color="auto"/>
          </w:divBdr>
        </w:div>
        <w:div w:id="776172790">
          <w:marLeft w:val="0"/>
          <w:marRight w:val="0"/>
          <w:marTop w:val="0"/>
          <w:marBottom w:val="0"/>
          <w:divBdr>
            <w:top w:val="none" w:sz="0" w:space="0" w:color="auto"/>
            <w:left w:val="none" w:sz="0" w:space="0" w:color="auto"/>
            <w:bottom w:val="none" w:sz="0" w:space="0" w:color="auto"/>
            <w:right w:val="none" w:sz="0" w:space="0" w:color="auto"/>
          </w:divBdr>
        </w:div>
        <w:div w:id="1036588592">
          <w:marLeft w:val="0"/>
          <w:marRight w:val="0"/>
          <w:marTop w:val="0"/>
          <w:marBottom w:val="0"/>
          <w:divBdr>
            <w:top w:val="none" w:sz="0" w:space="0" w:color="auto"/>
            <w:left w:val="none" w:sz="0" w:space="0" w:color="auto"/>
            <w:bottom w:val="none" w:sz="0" w:space="0" w:color="auto"/>
            <w:right w:val="none" w:sz="0" w:space="0" w:color="auto"/>
          </w:divBdr>
        </w:div>
        <w:div w:id="1199582272">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
      </w:divsChild>
    </w:div>
    <w:div w:id="1347252043">
      <w:bodyDiv w:val="1"/>
      <w:marLeft w:val="0"/>
      <w:marRight w:val="0"/>
      <w:marTop w:val="0"/>
      <w:marBottom w:val="0"/>
      <w:divBdr>
        <w:top w:val="none" w:sz="0" w:space="0" w:color="auto"/>
        <w:left w:val="none" w:sz="0" w:space="0" w:color="auto"/>
        <w:bottom w:val="none" w:sz="0" w:space="0" w:color="auto"/>
        <w:right w:val="none" w:sz="0" w:space="0" w:color="auto"/>
      </w:divBdr>
      <w:divsChild>
        <w:div w:id="390272243">
          <w:marLeft w:val="0"/>
          <w:marRight w:val="0"/>
          <w:marTop w:val="0"/>
          <w:marBottom w:val="0"/>
          <w:divBdr>
            <w:top w:val="none" w:sz="0" w:space="0" w:color="auto"/>
            <w:left w:val="none" w:sz="0" w:space="0" w:color="auto"/>
            <w:bottom w:val="none" w:sz="0" w:space="0" w:color="auto"/>
            <w:right w:val="none" w:sz="0" w:space="0" w:color="auto"/>
          </w:divBdr>
        </w:div>
        <w:div w:id="594022705">
          <w:marLeft w:val="0"/>
          <w:marRight w:val="0"/>
          <w:marTop w:val="0"/>
          <w:marBottom w:val="0"/>
          <w:divBdr>
            <w:top w:val="none" w:sz="0" w:space="0" w:color="auto"/>
            <w:left w:val="none" w:sz="0" w:space="0" w:color="auto"/>
            <w:bottom w:val="none" w:sz="0" w:space="0" w:color="auto"/>
            <w:right w:val="none" w:sz="0" w:space="0" w:color="auto"/>
          </w:divBdr>
        </w:div>
        <w:div w:id="688406740">
          <w:marLeft w:val="0"/>
          <w:marRight w:val="0"/>
          <w:marTop w:val="0"/>
          <w:marBottom w:val="0"/>
          <w:divBdr>
            <w:top w:val="none" w:sz="0" w:space="0" w:color="auto"/>
            <w:left w:val="none" w:sz="0" w:space="0" w:color="auto"/>
            <w:bottom w:val="none" w:sz="0" w:space="0" w:color="auto"/>
            <w:right w:val="none" w:sz="0" w:space="0" w:color="auto"/>
          </w:divBdr>
        </w:div>
        <w:div w:id="1005985309">
          <w:marLeft w:val="0"/>
          <w:marRight w:val="0"/>
          <w:marTop w:val="0"/>
          <w:marBottom w:val="0"/>
          <w:divBdr>
            <w:top w:val="none" w:sz="0" w:space="0" w:color="auto"/>
            <w:left w:val="none" w:sz="0" w:space="0" w:color="auto"/>
            <w:bottom w:val="none" w:sz="0" w:space="0" w:color="auto"/>
            <w:right w:val="none" w:sz="0" w:space="0" w:color="auto"/>
          </w:divBdr>
        </w:div>
        <w:div w:id="1837576502">
          <w:marLeft w:val="0"/>
          <w:marRight w:val="0"/>
          <w:marTop w:val="0"/>
          <w:marBottom w:val="0"/>
          <w:divBdr>
            <w:top w:val="none" w:sz="0" w:space="0" w:color="auto"/>
            <w:left w:val="none" w:sz="0" w:space="0" w:color="auto"/>
            <w:bottom w:val="none" w:sz="0" w:space="0" w:color="auto"/>
            <w:right w:val="none" w:sz="0" w:space="0" w:color="auto"/>
          </w:divBdr>
        </w:div>
        <w:div w:id="2097751697">
          <w:marLeft w:val="0"/>
          <w:marRight w:val="0"/>
          <w:marTop w:val="0"/>
          <w:marBottom w:val="0"/>
          <w:divBdr>
            <w:top w:val="none" w:sz="0" w:space="0" w:color="auto"/>
            <w:left w:val="none" w:sz="0" w:space="0" w:color="auto"/>
            <w:bottom w:val="none" w:sz="0" w:space="0" w:color="auto"/>
            <w:right w:val="none" w:sz="0" w:space="0" w:color="auto"/>
          </w:divBdr>
        </w:div>
      </w:divsChild>
    </w:div>
    <w:div w:id="1420558386">
      <w:bodyDiv w:val="1"/>
      <w:marLeft w:val="0"/>
      <w:marRight w:val="0"/>
      <w:marTop w:val="0"/>
      <w:marBottom w:val="0"/>
      <w:divBdr>
        <w:top w:val="none" w:sz="0" w:space="0" w:color="auto"/>
        <w:left w:val="none" w:sz="0" w:space="0" w:color="auto"/>
        <w:bottom w:val="none" w:sz="0" w:space="0" w:color="auto"/>
        <w:right w:val="none" w:sz="0" w:space="0" w:color="auto"/>
      </w:divBdr>
      <w:divsChild>
        <w:div w:id="971254646">
          <w:marLeft w:val="0"/>
          <w:marRight w:val="0"/>
          <w:marTop w:val="0"/>
          <w:marBottom w:val="0"/>
          <w:divBdr>
            <w:top w:val="none" w:sz="0" w:space="0" w:color="auto"/>
            <w:left w:val="none" w:sz="0" w:space="0" w:color="auto"/>
            <w:bottom w:val="none" w:sz="0" w:space="0" w:color="auto"/>
            <w:right w:val="none" w:sz="0" w:space="0" w:color="auto"/>
          </w:divBdr>
        </w:div>
      </w:divsChild>
    </w:div>
    <w:div w:id="1426805943">
      <w:bodyDiv w:val="1"/>
      <w:marLeft w:val="0"/>
      <w:marRight w:val="0"/>
      <w:marTop w:val="0"/>
      <w:marBottom w:val="0"/>
      <w:divBdr>
        <w:top w:val="none" w:sz="0" w:space="0" w:color="auto"/>
        <w:left w:val="none" w:sz="0" w:space="0" w:color="auto"/>
        <w:bottom w:val="none" w:sz="0" w:space="0" w:color="auto"/>
        <w:right w:val="none" w:sz="0" w:space="0" w:color="auto"/>
      </w:divBdr>
    </w:div>
    <w:div w:id="1768885006">
      <w:bodyDiv w:val="1"/>
      <w:marLeft w:val="0"/>
      <w:marRight w:val="0"/>
      <w:marTop w:val="0"/>
      <w:marBottom w:val="0"/>
      <w:divBdr>
        <w:top w:val="none" w:sz="0" w:space="0" w:color="auto"/>
        <w:left w:val="none" w:sz="0" w:space="0" w:color="auto"/>
        <w:bottom w:val="none" w:sz="0" w:space="0" w:color="auto"/>
        <w:right w:val="none" w:sz="0" w:space="0" w:color="auto"/>
      </w:divBdr>
    </w:div>
    <w:div w:id="18617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vandermeulen@gartn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essa.rivera@gartner.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tne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NEW_newtemplate_big.dot</Template>
  <TotalTime>1</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8597</CharactersWithSpaces>
  <SharedDoc>false</SharedDoc>
  <HLinks>
    <vt:vector size="6" baseType="variant">
      <vt:variant>
        <vt:i4>2883681</vt:i4>
      </vt:variant>
      <vt:variant>
        <vt:i4>0</vt:i4>
      </vt:variant>
      <vt:variant>
        <vt:i4>0</vt:i4>
      </vt:variant>
      <vt:variant>
        <vt:i4>5</vt:i4>
      </vt:variant>
      <vt:variant>
        <vt:lpwstr>http://www.gartner.com/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lgoasduf</cp:lastModifiedBy>
  <cp:revision>6</cp:revision>
  <cp:lastPrinted>2006-02-21T20:10:00Z</cp:lastPrinted>
  <dcterms:created xsi:type="dcterms:W3CDTF">2012-11-29T08:09:00Z</dcterms:created>
  <dcterms:modified xsi:type="dcterms:W3CDTF">2012-11-29T08:10:00Z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